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8" w:rsidRDefault="00D710C8" w:rsidP="00C1673C">
      <w:pPr>
        <w:pStyle w:val="a4"/>
        <w:jc w:val="center"/>
        <w:rPr>
          <w:rStyle w:val="a6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uk-UA" w:eastAsia="uk-UA"/>
        </w:rPr>
        <w:drawing>
          <wp:inline distT="0" distB="0" distL="0" distR="0" wp14:anchorId="0F37E35B" wp14:editId="6E19D2A1">
            <wp:extent cx="4648197" cy="790575"/>
            <wp:effectExtent l="0" t="0" r="635" b="0"/>
            <wp:docPr id="3" name="Рисунок 2" descr="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_bw_u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9554" cy="7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3C" w:rsidRPr="00291E6D" w:rsidRDefault="00C1673C" w:rsidP="00C1673C">
      <w:pPr>
        <w:pStyle w:val="a4"/>
        <w:jc w:val="center"/>
        <w:rPr>
          <w:rStyle w:val="a6"/>
          <w:color w:val="000000" w:themeColor="text1"/>
          <w:sz w:val="36"/>
          <w:szCs w:val="36"/>
          <w:lang w:val="uk-UA"/>
        </w:rPr>
      </w:pPr>
      <w:bookmarkStart w:id="0" w:name="_GoBack"/>
      <w:proofErr w:type="spellStart"/>
      <w:r w:rsidRPr="00291E6D">
        <w:rPr>
          <w:rStyle w:val="a6"/>
          <w:color w:val="000000" w:themeColor="text1"/>
          <w:sz w:val="36"/>
          <w:szCs w:val="36"/>
        </w:rPr>
        <w:t>Деякі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питання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проведення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нормативної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грошової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оцінки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земельної</w:t>
      </w:r>
      <w:proofErr w:type="spellEnd"/>
      <w:r w:rsidRPr="00291E6D">
        <w:rPr>
          <w:rStyle w:val="a6"/>
          <w:color w:val="000000" w:themeColor="text1"/>
          <w:sz w:val="36"/>
          <w:szCs w:val="36"/>
        </w:rPr>
        <w:t xml:space="preserve"> </w:t>
      </w:r>
      <w:proofErr w:type="spellStart"/>
      <w:r w:rsidRPr="00291E6D">
        <w:rPr>
          <w:rStyle w:val="a6"/>
          <w:color w:val="000000" w:themeColor="text1"/>
          <w:sz w:val="36"/>
          <w:szCs w:val="36"/>
        </w:rPr>
        <w:t>ділянки</w:t>
      </w:r>
      <w:proofErr w:type="spellEnd"/>
    </w:p>
    <w:bookmarkEnd w:id="0"/>
    <w:p w:rsidR="00C1673C" w:rsidRDefault="00C1673C" w:rsidP="00507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C00000"/>
          <w:sz w:val="24"/>
          <w:szCs w:val="24"/>
          <w:lang w:val="uk-UA"/>
        </w:rPr>
        <w:t>Н</w:t>
      </w:r>
      <w:proofErr w:type="spellStart"/>
      <w:r w:rsidRPr="00D710C8">
        <w:rPr>
          <w:rFonts w:ascii="Times New Roman" w:hAnsi="Times New Roman" w:cs="Times New Roman"/>
          <w:color w:val="C00000"/>
          <w:sz w:val="24"/>
          <w:szCs w:val="24"/>
        </w:rPr>
        <w:t>ормативна</w:t>
      </w:r>
      <w:proofErr w:type="spellEnd"/>
      <w:r w:rsidRPr="00D710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C00000"/>
          <w:sz w:val="24"/>
          <w:szCs w:val="24"/>
        </w:rPr>
        <w:t>грошова</w:t>
      </w:r>
      <w:proofErr w:type="spellEnd"/>
      <w:r w:rsidRPr="00D710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C00000"/>
          <w:sz w:val="24"/>
          <w:szCs w:val="24"/>
        </w:rPr>
        <w:t>оцінка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земельних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ділянок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статті 1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оцінку земель») -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капіталізований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рентний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дохід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визначений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встановленими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затвердженими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нормативами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34F4" w:rsidRPr="00D710C8" w:rsidRDefault="008A34F4" w:rsidP="008A3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>
            <wp:extent cx="4757960" cy="1295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ельний_податок1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9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3C" w:rsidRPr="00D710C8" w:rsidRDefault="005073DB" w:rsidP="00507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C1673C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ормативна грошова оцінка земельних ділянок </w:t>
      </w:r>
      <w:proofErr w:type="spellStart"/>
      <w:r w:rsidRPr="00D710C8">
        <w:rPr>
          <w:rFonts w:ascii="Times New Roman" w:hAnsi="Times New Roman" w:cs="Times New Roman"/>
          <w:color w:val="C00000"/>
          <w:sz w:val="24"/>
          <w:szCs w:val="24"/>
          <w:lang w:val="uk-UA"/>
        </w:rPr>
        <w:t>обов</w:t>
      </w:r>
      <w:proofErr w:type="spellEnd"/>
      <w:r w:rsidRPr="00D710C8">
        <w:rPr>
          <w:rFonts w:ascii="Times New Roman" w:hAnsi="Times New Roman" w:cs="Times New Roman"/>
          <w:color w:val="C00000"/>
          <w:sz w:val="24"/>
          <w:szCs w:val="24"/>
        </w:rPr>
        <w:t>’</w:t>
      </w:r>
      <w:proofErr w:type="spellStart"/>
      <w:r w:rsidRPr="00D710C8">
        <w:rPr>
          <w:rFonts w:ascii="Times New Roman" w:hAnsi="Times New Roman" w:cs="Times New Roman"/>
          <w:color w:val="C00000"/>
          <w:sz w:val="24"/>
          <w:szCs w:val="24"/>
          <w:lang w:val="uk-UA"/>
        </w:rPr>
        <w:t>язково</w:t>
      </w:r>
      <w:proofErr w:type="spellEnd"/>
      <w:r w:rsidRPr="00D710C8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C1673C" w:rsidRPr="00D710C8">
        <w:rPr>
          <w:rFonts w:ascii="Times New Roman" w:hAnsi="Times New Roman" w:cs="Times New Roman"/>
          <w:color w:val="C00000"/>
          <w:sz w:val="24"/>
          <w:szCs w:val="24"/>
          <w:lang w:val="uk-UA"/>
        </w:rPr>
        <w:t>проводиться</w:t>
      </w:r>
      <w:r w:rsidR="00C1673C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разі: </w:t>
      </w:r>
    </w:p>
    <w:p w:rsidR="005073DB" w:rsidRPr="00D710C8" w:rsidRDefault="00C1673C" w:rsidP="005073DB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 розміру земельного податку;</w:t>
      </w:r>
    </w:p>
    <w:p w:rsidR="005073DB" w:rsidRPr="00D710C8" w:rsidRDefault="00C1673C" w:rsidP="005073DB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визначення розміру орендної плати за земельні ділянки державної т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комунальної власності;</w:t>
      </w:r>
    </w:p>
    <w:p w:rsidR="005073DB" w:rsidRPr="00D710C8" w:rsidRDefault="00C1673C" w:rsidP="005073DB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визначення розміру державного мита при міні, спадкуванні (крім випадків спадкування спадкоємцями першої та другої черги за законом (як випадків спадкування ними за законом, так і випадків спадкування ними за заповітом) і за правом представлення, а також випадків спадкування власності, вартість якої оподатковується за нульовою ставкою) та даруванні земельних ділянок згідно із законом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073DB" w:rsidRPr="00D710C8" w:rsidRDefault="00C1673C" w:rsidP="005073DB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визначення втрат сільськогоспод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арського і 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лісогосподарського 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виробництва;</w:t>
      </w:r>
    </w:p>
    <w:p w:rsidR="00D710C8" w:rsidRPr="00D710C8" w:rsidRDefault="00C1673C" w:rsidP="00D710C8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розробки показників та механізмів економічного стимулювання раціонального 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використання та охорони земель;</w:t>
      </w:r>
    </w:p>
    <w:p w:rsidR="00C1673C" w:rsidRPr="00D710C8" w:rsidRDefault="00C1673C" w:rsidP="005073DB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відчуження земельних ділянок площею понад 50 гектарів, що належать до державної або комунальної власності, для розміщення відкритих спортивних і фізкультурно-оздоровчих споруд.</w:t>
      </w:r>
    </w:p>
    <w:p w:rsidR="008E1852" w:rsidRDefault="008A34F4" w:rsidP="008E18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uk-UA" w:eastAsia="uk-UA"/>
        </w:rPr>
        <w:lastRenderedPageBreak/>
        <w:drawing>
          <wp:inline distT="0" distB="0" distL="0" distR="0" wp14:anchorId="61C78EA9" wp14:editId="3FB8D704">
            <wp:extent cx="4751158" cy="695325"/>
            <wp:effectExtent l="0" t="0" r="0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69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D56740" w:rsidRPr="00D710C8" w:rsidRDefault="00D56740" w:rsidP="008E1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Законом</w:t>
      </w:r>
      <w:r w:rsidR="00291E6D"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E6D"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="00291E6D"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91E6D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оцінку земель»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визначена періодичність проведення нормативної грошової оцінки земельних ділянок:</w:t>
      </w:r>
    </w:p>
    <w:p w:rsidR="00D710C8" w:rsidRPr="008A34F4" w:rsidRDefault="00D56740" w:rsidP="008A34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рідше ніж один раз на 5-7 років – для будь-яких земель в межах населених пунктів, а також для земельних ділянок сільськогосподарського призначення за межами населених пунктів.</w:t>
      </w:r>
    </w:p>
    <w:p w:rsidR="00D56740" w:rsidRPr="00D710C8" w:rsidRDefault="00D56740" w:rsidP="00B8493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рідше ніж один раз на 7-10 років – для земель несільськогосподарського призначення за межами населених пунктів.</w:t>
      </w:r>
    </w:p>
    <w:p w:rsidR="00C92740" w:rsidRDefault="00B905AC" w:rsidP="00C9274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Нормативна грошова оцінка земельних ділянок проводиться юридичними особами, які є розробниками документації із землеустрою згідно із Законом України «Про землеустрій»</w:t>
      </w:r>
      <w:r w:rsidR="00C92740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відно до державних стандартів, норм, правил, а також інших 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нормативн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о-правових актів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землях усіх категорій та форм </w:t>
      </w:r>
      <w:r w:rsidR="005073DB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власності. </w:t>
      </w:r>
    </w:p>
    <w:p w:rsidR="00291E6D" w:rsidRPr="00291E6D" w:rsidRDefault="00291E6D" w:rsidP="00291E6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Фінансування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оці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земельних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ділянок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проводитися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коштів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бю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джету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ісцевих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E6D" w:rsidRPr="00291E6D" w:rsidRDefault="00291E6D" w:rsidP="00291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землевласників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землекористувачі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джерел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>заборонених</w:t>
      </w:r>
      <w:proofErr w:type="spellEnd"/>
      <w:r w:rsidRPr="00291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законом.</w:t>
      </w:r>
    </w:p>
    <w:p w:rsidR="00B905AC" w:rsidRPr="00D710C8" w:rsidRDefault="00B905AC" w:rsidP="00B84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результатами нормативної грошової оцінки земель складається технічна документація. Дані про нормативну грошову оцінку окремої земельної ділянки оформляються за заявою зацікавленої особи як витяг із технічної документації про нормативну г</w:t>
      </w:r>
      <w:r w:rsidR="00B8493C"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рошову оцінку земельної ділянки, який видається центральним органом виконавчої влади, що реалізує державну політику у сфері земельних відносин.</w:t>
      </w:r>
    </w:p>
    <w:p w:rsidR="00B8493C" w:rsidRPr="00291E6D" w:rsidRDefault="00291E6D" w:rsidP="008E18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  <w:lang w:val="uk-UA"/>
        </w:rPr>
      </w:pPr>
      <w:r w:rsidRPr="00291E6D">
        <w:rPr>
          <w:rFonts w:ascii="Times New Roman" w:hAnsi="Times New Roman" w:cs="Times New Roman"/>
          <w:i/>
          <w:color w:val="C00000"/>
          <w:sz w:val="24"/>
          <w:szCs w:val="24"/>
          <w:lang w:val="uk-UA"/>
        </w:rPr>
        <w:t xml:space="preserve">Увага! </w:t>
      </w:r>
      <w:r w:rsidR="00B8493C" w:rsidRPr="00291E6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Технічна документація нормативної грошової оцінки земельних ділянок у межах населених пунктів затверджується відповідною сільською, селищною, міською радою, за межами населених пунктів - районними рада</w:t>
      </w:r>
      <w:r w:rsidRPr="00291E6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ми.</w:t>
      </w:r>
    </w:p>
    <w:p w:rsidR="00291E6D" w:rsidRDefault="00B8493C" w:rsidP="00B84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Суб'єкти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оціночної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сфері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оцінки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несуть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порушення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вимог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сфері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оцінки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</w:t>
      </w:r>
      <w:proofErr w:type="spell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D7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закону. </w:t>
      </w:r>
    </w:p>
    <w:p w:rsidR="00B8493C" w:rsidRDefault="00B8493C" w:rsidP="00B849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1E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Спори між суб'єктами оціночної діяльності, пов'язані з оцінкою земель, вирішуються в судовому порядку.</w:t>
      </w:r>
    </w:p>
    <w:p w:rsidR="00E012B4" w:rsidRPr="00E012B4" w:rsidRDefault="00E012B4" w:rsidP="00E012B4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E012B4" w:rsidRPr="00291E6D" w:rsidRDefault="00E012B4" w:rsidP="00E012B4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Харків - 2018</w:t>
      </w:r>
    </w:p>
    <w:sectPr w:rsidR="00E012B4" w:rsidRPr="00291E6D" w:rsidSect="00C1673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50F"/>
    <w:multiLevelType w:val="hybridMultilevel"/>
    <w:tmpl w:val="89840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981711"/>
    <w:multiLevelType w:val="hybridMultilevel"/>
    <w:tmpl w:val="2D7E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5"/>
    <w:rsid w:val="00291E6D"/>
    <w:rsid w:val="005073DB"/>
    <w:rsid w:val="008A34F4"/>
    <w:rsid w:val="008E1852"/>
    <w:rsid w:val="008F3495"/>
    <w:rsid w:val="00B8493C"/>
    <w:rsid w:val="00B905AC"/>
    <w:rsid w:val="00C1673C"/>
    <w:rsid w:val="00C92740"/>
    <w:rsid w:val="00C93339"/>
    <w:rsid w:val="00D56740"/>
    <w:rsid w:val="00D710C8"/>
    <w:rsid w:val="00DC2B58"/>
    <w:rsid w:val="00E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C1673C"/>
    <w:rPr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10"/>
    <w:qFormat/>
    <w:rsid w:val="00C1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C1673C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73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C1673C"/>
    <w:rPr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10"/>
    <w:qFormat/>
    <w:rsid w:val="00C16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C1673C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73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3</dc:creator>
  <cp:lastModifiedBy>Пользователь</cp:lastModifiedBy>
  <cp:revision>2</cp:revision>
  <dcterms:created xsi:type="dcterms:W3CDTF">2018-08-30T11:08:00Z</dcterms:created>
  <dcterms:modified xsi:type="dcterms:W3CDTF">2018-08-30T11:08:00Z</dcterms:modified>
</cp:coreProperties>
</file>