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90" w:rsidRDefault="00E92E90" w:rsidP="00E92E90">
      <w:pPr>
        <w:jc w:val="center"/>
      </w:pPr>
      <w:r>
        <w:object w:dxaOrig="858" w:dyaOrig="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o:preferrelative="f" fillcolor="window">
            <v:imagedata r:id="rId8" o:title=""/>
            <o:lock v:ext="edit" aspectratio="f"/>
          </v:shape>
          <o:OLEObject Type="Embed" ProgID="CDraw5" ShapeID="_x0000_i1025" DrawAspect="Content" ObjectID="_1347957527" r:id="rId9"/>
        </w:object>
      </w:r>
      <w:r>
        <w:t xml:space="preserve">                                        </w:t>
      </w:r>
    </w:p>
    <w:p w:rsidR="00E92E90" w:rsidRDefault="00E92E90" w:rsidP="00E92E90">
      <w:pPr>
        <w:pStyle w:val="1"/>
        <w:rPr>
          <w:rFonts w:ascii="Times New Roman" w:hAnsi="Times New Roman" w:cs="Times New Roman"/>
          <w:sz w:val="34"/>
        </w:rPr>
      </w:pPr>
      <w:r>
        <w:rPr>
          <w:rFonts w:ascii="Times New Roman" w:hAnsi="Times New Roman" w:cs="Times New Roman"/>
          <w:sz w:val="34"/>
        </w:rPr>
        <w:t xml:space="preserve">ВИТЯГ З ПРОТОКОЛУ № </w:t>
      </w:r>
      <w:r w:rsidR="005A713A">
        <w:rPr>
          <w:rFonts w:ascii="Times New Roman" w:hAnsi="Times New Roman" w:cs="Times New Roman"/>
          <w:sz w:val="34"/>
          <w:lang w:val="ru-RU"/>
        </w:rPr>
        <w:t>5</w:t>
      </w:r>
      <w:r>
        <w:rPr>
          <w:rFonts w:ascii="Times New Roman" w:hAnsi="Times New Roman" w:cs="Times New Roman"/>
          <w:sz w:val="34"/>
        </w:rPr>
        <w:t xml:space="preserve">  </w:t>
      </w:r>
    </w:p>
    <w:p w:rsidR="00E92E90" w:rsidRPr="009A5192" w:rsidRDefault="00E92E90" w:rsidP="00E92E90">
      <w:pPr>
        <w:jc w:val="center"/>
        <w:rPr>
          <w:b/>
          <w:smallCaps/>
          <w:sz w:val="32"/>
          <w:szCs w:val="32"/>
        </w:rPr>
      </w:pPr>
      <w:r w:rsidRPr="009A5192">
        <w:rPr>
          <w:b/>
          <w:smallCaps/>
          <w:sz w:val="32"/>
          <w:szCs w:val="32"/>
        </w:rPr>
        <w:t xml:space="preserve">СПІЛЬНОГО ЗАСІДАННЯ КОЛЕГІЇ  </w:t>
      </w:r>
    </w:p>
    <w:p w:rsidR="00E92E90" w:rsidRPr="009A5192" w:rsidRDefault="00E92E90" w:rsidP="00E92E90">
      <w:pPr>
        <w:jc w:val="center"/>
        <w:rPr>
          <w:b/>
          <w:smallCaps/>
          <w:sz w:val="32"/>
          <w:szCs w:val="32"/>
        </w:rPr>
      </w:pPr>
      <w:r w:rsidRPr="009A5192">
        <w:rPr>
          <w:b/>
          <w:smallCaps/>
          <w:sz w:val="32"/>
          <w:szCs w:val="32"/>
        </w:rPr>
        <w:t xml:space="preserve">ХАРКІВСЬКОЇ ОБЛАСНОЇ ДЕРЖАВНОЇ АДМІНІСТРАЦІЇ </w:t>
      </w:r>
    </w:p>
    <w:p w:rsidR="00E92E90" w:rsidRPr="009A5192" w:rsidRDefault="00E92E90" w:rsidP="00E92E90">
      <w:pPr>
        <w:jc w:val="center"/>
        <w:rPr>
          <w:b/>
          <w:smallCaps/>
          <w:sz w:val="32"/>
          <w:szCs w:val="32"/>
        </w:rPr>
      </w:pPr>
      <w:r w:rsidRPr="009A5192">
        <w:rPr>
          <w:b/>
          <w:smallCaps/>
          <w:sz w:val="32"/>
          <w:szCs w:val="32"/>
        </w:rPr>
        <w:t xml:space="preserve">ТА ЗБОРІВ АДМІНІСТРАТИВНО – ГОСПОДАРСЬКОГО </w:t>
      </w:r>
    </w:p>
    <w:p w:rsidR="00E92E90" w:rsidRPr="009A5192" w:rsidRDefault="00E92E90" w:rsidP="00E92E90">
      <w:pPr>
        <w:jc w:val="center"/>
        <w:rPr>
          <w:b/>
          <w:smallCaps/>
          <w:sz w:val="32"/>
          <w:szCs w:val="32"/>
        </w:rPr>
      </w:pPr>
      <w:r w:rsidRPr="009A5192">
        <w:rPr>
          <w:b/>
          <w:smallCaps/>
          <w:sz w:val="32"/>
          <w:szCs w:val="32"/>
        </w:rPr>
        <w:t>АКТИВУ ОБЛАСТІ</w:t>
      </w:r>
    </w:p>
    <w:p w:rsidR="00E92E90" w:rsidRPr="00693311" w:rsidRDefault="00E92E90" w:rsidP="00E92E90">
      <w:pPr>
        <w:jc w:val="center"/>
        <w:rPr>
          <w:b/>
          <w:sz w:val="32"/>
        </w:rPr>
      </w:pPr>
      <w:r>
        <w:rPr>
          <w:b/>
          <w:sz w:val="32"/>
        </w:rPr>
        <w:t>від 2</w:t>
      </w:r>
      <w:r w:rsidR="005A713A" w:rsidRPr="00106ED8">
        <w:rPr>
          <w:b/>
          <w:sz w:val="32"/>
        </w:rPr>
        <w:t>7</w:t>
      </w:r>
      <w:r>
        <w:rPr>
          <w:b/>
          <w:sz w:val="32"/>
        </w:rPr>
        <w:t xml:space="preserve"> </w:t>
      </w:r>
      <w:r w:rsidR="00106ED8" w:rsidRPr="00106ED8">
        <w:rPr>
          <w:b/>
          <w:sz w:val="32"/>
        </w:rPr>
        <w:t>вересня</w:t>
      </w:r>
      <w:r>
        <w:rPr>
          <w:b/>
          <w:sz w:val="32"/>
        </w:rPr>
        <w:t xml:space="preserve"> 2010 року</w:t>
      </w:r>
    </w:p>
    <w:p w:rsidR="00E92E90" w:rsidRPr="00716C1E" w:rsidRDefault="00E92E90" w:rsidP="00E92E90">
      <w:pPr>
        <w:rPr>
          <w:b/>
        </w:rPr>
      </w:pPr>
    </w:p>
    <w:p w:rsidR="00E92E90" w:rsidRPr="00827430" w:rsidRDefault="00201DB7" w:rsidP="00E92E90">
      <w:pPr>
        <w:autoSpaceDE w:val="0"/>
        <w:autoSpaceDN w:val="0"/>
        <w:jc w:val="center"/>
        <w:rPr>
          <w:b/>
          <w:sz w:val="10"/>
          <w:szCs w:val="10"/>
        </w:rPr>
      </w:pPr>
      <w:r w:rsidRPr="00201DB7">
        <w:rPr>
          <w:noProof/>
        </w:rPr>
        <w:pict>
          <v:line id="_x0000_s1026" style="position:absolute;left:0;text-align:left;z-index:251658240" from="-4.1pt,2.7pt" to="481.15pt,2.7pt" strokeweight="2.25pt"/>
        </w:pict>
      </w:r>
    </w:p>
    <w:p w:rsidR="00106ED8" w:rsidRDefault="00106ED8" w:rsidP="00106ED8">
      <w:pPr>
        <w:pStyle w:val="4"/>
        <w:tabs>
          <w:tab w:val="left" w:pos="142"/>
          <w:tab w:val="left" w:pos="284"/>
          <w:tab w:val="left" w:pos="993"/>
        </w:tabs>
        <w:spacing w:before="0"/>
        <w:ind w:firstLine="709"/>
        <w:jc w:val="both"/>
        <w:rPr>
          <w:rFonts w:ascii="Times New Roman" w:hAnsi="Times New Roman" w:cs="Times New Roman"/>
          <w:i w:val="0"/>
          <w:color w:val="auto"/>
          <w:szCs w:val="28"/>
          <w:lang w:val="ru-RU"/>
        </w:rPr>
      </w:pPr>
    </w:p>
    <w:p w:rsidR="00106ED8" w:rsidRDefault="00106ED8" w:rsidP="00106ED8">
      <w:pPr>
        <w:pStyle w:val="4"/>
        <w:numPr>
          <w:ilvl w:val="0"/>
          <w:numId w:val="1"/>
        </w:numPr>
        <w:tabs>
          <w:tab w:val="left" w:pos="142"/>
          <w:tab w:val="left" w:pos="284"/>
          <w:tab w:val="left" w:pos="993"/>
        </w:tabs>
        <w:spacing w:before="0"/>
        <w:ind w:left="0" w:firstLine="709"/>
        <w:jc w:val="both"/>
        <w:rPr>
          <w:rFonts w:ascii="Times New Roman" w:hAnsi="Times New Roman" w:cs="Times New Roman"/>
          <w:i w:val="0"/>
          <w:color w:val="auto"/>
          <w:szCs w:val="28"/>
          <w:lang w:val="ru-RU"/>
        </w:rPr>
      </w:pPr>
      <w:r w:rsidRPr="00106ED8">
        <w:rPr>
          <w:rFonts w:ascii="Times New Roman" w:hAnsi="Times New Roman" w:cs="Times New Roman"/>
          <w:i w:val="0"/>
          <w:color w:val="auto"/>
          <w:szCs w:val="28"/>
        </w:rPr>
        <w:t>Про хід виконання рішення колегії обласної державної адміністрації від 25 серпня 2010 року «Про погашення заборгованості з виплати заробітної плати, внесків до Пенсійного фонду України та ста</w:t>
      </w:r>
      <w:r w:rsidR="006839D4">
        <w:rPr>
          <w:rFonts w:ascii="Times New Roman" w:hAnsi="Times New Roman" w:cs="Times New Roman"/>
          <w:i w:val="0"/>
          <w:color w:val="auto"/>
          <w:szCs w:val="28"/>
        </w:rPr>
        <w:t>н зайнятості населення області»</w:t>
      </w:r>
    </w:p>
    <w:p w:rsidR="00106ED8" w:rsidRPr="00106ED8" w:rsidRDefault="00106ED8" w:rsidP="00106ED8">
      <w:pPr>
        <w:rPr>
          <w:lang w:val="ru-RU"/>
        </w:rPr>
      </w:pPr>
    </w:p>
    <w:p w:rsidR="00E92E90" w:rsidRPr="001F5D8E" w:rsidRDefault="00201DB7" w:rsidP="00E92E90">
      <w:pPr>
        <w:autoSpaceDE w:val="0"/>
        <w:autoSpaceDN w:val="0"/>
        <w:jc w:val="center"/>
        <w:rPr>
          <w:b/>
          <w:bCs/>
          <w:sz w:val="20"/>
        </w:rPr>
      </w:pPr>
      <w:r w:rsidRPr="00201DB7">
        <w:rPr>
          <w:b/>
          <w:noProof/>
          <w:lang w:eastAsia="uk-UA"/>
        </w:rPr>
        <w:pict>
          <v:line id="_x0000_s1028" style="position:absolute;left:0;text-align:left;z-index:251659264" from="-3.35pt,2.05pt" to="481.9pt,2.05pt" strokeweight="2.25pt"/>
        </w:pict>
      </w:r>
    </w:p>
    <w:p w:rsidR="00106ED8" w:rsidRPr="000B6FE5" w:rsidRDefault="00106ED8" w:rsidP="009F3E87">
      <w:pPr>
        <w:pStyle w:val="a3"/>
        <w:spacing w:after="0"/>
        <w:ind w:firstLine="720"/>
        <w:jc w:val="both"/>
        <w:rPr>
          <w:szCs w:val="28"/>
        </w:rPr>
      </w:pPr>
      <w:r w:rsidRPr="000B6FE5">
        <w:rPr>
          <w:szCs w:val="28"/>
        </w:rPr>
        <w:t xml:space="preserve">Проаналізувавши та обговоривши питання про хід виконання рішення колегії обласної державної адміністрації від 25 серпня 2010 року «Про погашення заборгованості з виплати заробітної плати, внесків до Пенсійного фонду України та стан зайнятості населення області», колегія відмічає, що за даними моніторингу станом на 17 вересня 2010 року загальна заборгованість із виплати заробітної плати склала 113,5 млн. грн. і скоротилася з початку вересня на 8,8 млн. грн. Відповідно до плану невідкладних заходів щодо погашення заборгованості із виплати заробітної плати, затвердженого розпорядженням Кабінету Міністрів України від 11.08.10 № 1609-р, у вересні борги повинні бути скорочені на 6,4 млн. грн. </w:t>
      </w:r>
    </w:p>
    <w:p w:rsidR="00106ED8" w:rsidRPr="000B6FE5" w:rsidRDefault="00106ED8" w:rsidP="009F3E87">
      <w:pPr>
        <w:pStyle w:val="a3"/>
        <w:spacing w:after="0"/>
        <w:ind w:firstLine="720"/>
        <w:jc w:val="both"/>
        <w:rPr>
          <w:szCs w:val="28"/>
        </w:rPr>
      </w:pPr>
      <w:r w:rsidRPr="000B6FE5">
        <w:rPr>
          <w:szCs w:val="28"/>
        </w:rPr>
        <w:t xml:space="preserve">На економічно активних підприємствах борги з виплати заробітної плати скорочені на 8,3 млн. грн., на підприємствах-банкрутах – </w:t>
      </w:r>
      <w:r w:rsidRPr="000B6FE5">
        <w:rPr>
          <w:szCs w:val="28"/>
        </w:rPr>
        <w:br/>
        <w:t xml:space="preserve">на 0,5 млн. грн. </w:t>
      </w:r>
    </w:p>
    <w:p w:rsidR="00106ED8" w:rsidRPr="000B6FE5" w:rsidRDefault="00106ED8" w:rsidP="009F3E87">
      <w:pPr>
        <w:pStyle w:val="a3"/>
        <w:spacing w:after="0"/>
        <w:ind w:firstLine="720"/>
        <w:jc w:val="both"/>
        <w:rPr>
          <w:szCs w:val="28"/>
        </w:rPr>
      </w:pPr>
      <w:r w:rsidRPr="000B6FE5">
        <w:rPr>
          <w:szCs w:val="28"/>
        </w:rPr>
        <w:t>На 17.09.10 на державних підприємствах залишається невиплаченою заборгована заробітна плата в сумі 58,8 млн. грн., на комунальних підприємствах – 19,1 млн. грн., н</w:t>
      </w:r>
      <w:r w:rsidRPr="000B6FE5">
        <w:rPr>
          <w:iCs/>
          <w:szCs w:val="28"/>
        </w:rPr>
        <w:t xml:space="preserve">а підприємствах колективної та приватної форм власності – 15,1 млн. грн. </w:t>
      </w:r>
    </w:p>
    <w:p w:rsidR="00106ED8" w:rsidRPr="000B6FE5" w:rsidRDefault="00106ED8" w:rsidP="009F3E87">
      <w:pPr>
        <w:pStyle w:val="a3"/>
        <w:spacing w:after="0"/>
        <w:ind w:firstLine="720"/>
        <w:jc w:val="both"/>
        <w:rPr>
          <w:szCs w:val="28"/>
        </w:rPr>
      </w:pPr>
      <w:r w:rsidRPr="000B6FE5">
        <w:rPr>
          <w:szCs w:val="28"/>
        </w:rPr>
        <w:t>Повністю розрахувалися з працівниками у товаристві з обмеженою відповідальністю «Т.М.М.» – 431 тис. грн., відкритому акціонерному товаристві «Трансз</w:t>
      </w:r>
      <w:r w:rsidRPr="000B6FE5">
        <w:rPr>
          <w:szCs w:val="28"/>
          <w:lang w:val="ru-RU"/>
        </w:rPr>
        <w:t>’</w:t>
      </w:r>
      <w:r w:rsidRPr="000B6FE5">
        <w:rPr>
          <w:szCs w:val="28"/>
        </w:rPr>
        <w:t xml:space="preserve">вязок» – 400 тис. грн. </w:t>
      </w:r>
    </w:p>
    <w:p w:rsidR="00106ED8" w:rsidRPr="000B6FE5" w:rsidRDefault="00106ED8" w:rsidP="009F3E87">
      <w:pPr>
        <w:pStyle w:val="a3"/>
        <w:spacing w:after="0"/>
        <w:ind w:firstLine="720"/>
        <w:jc w:val="both"/>
        <w:rPr>
          <w:szCs w:val="28"/>
        </w:rPr>
      </w:pPr>
      <w:r w:rsidRPr="000B6FE5">
        <w:rPr>
          <w:szCs w:val="28"/>
        </w:rPr>
        <w:t xml:space="preserve">Найбільші суми боргу виплачені працівникам </w:t>
      </w:r>
      <w:r w:rsidRPr="000B6FE5">
        <w:rPr>
          <w:szCs w:val="28"/>
        </w:rPr>
        <w:br/>
        <w:t xml:space="preserve">державного підприємства «Харківський завод електроапаратури» – </w:t>
      </w:r>
      <w:r w:rsidRPr="000B6FE5">
        <w:rPr>
          <w:szCs w:val="28"/>
        </w:rPr>
        <w:br/>
        <w:t xml:space="preserve">2 млн. грн. (32,7 %), відкритого акціонерного товариства «Книжкова фабрика </w:t>
      </w:r>
      <w:r w:rsidRPr="000B6FE5">
        <w:rPr>
          <w:szCs w:val="28"/>
        </w:rPr>
        <w:br/>
        <w:t xml:space="preserve">ім. Фрунзе» – 517 тис. грн. (28,4 %), відкритого акціонерного товариства «Ізюмський тепловозоремонтний завод» – 512,1 тис. грн. (8,2 %), </w:t>
      </w:r>
      <w:r w:rsidRPr="000B6FE5">
        <w:rPr>
          <w:szCs w:val="28"/>
        </w:rPr>
        <w:br/>
        <w:t xml:space="preserve">Харківського комунального підприємства «Міськелектротранс» – </w:t>
      </w:r>
      <w:r w:rsidRPr="000B6FE5">
        <w:rPr>
          <w:szCs w:val="28"/>
        </w:rPr>
        <w:br/>
        <w:t xml:space="preserve">498,4 тис. грн. (3,6 %). </w:t>
      </w:r>
    </w:p>
    <w:p w:rsidR="00106ED8" w:rsidRPr="000B6FE5" w:rsidRDefault="00106ED8" w:rsidP="009F3E87">
      <w:pPr>
        <w:pStyle w:val="a3"/>
        <w:spacing w:after="0"/>
        <w:ind w:firstLine="720"/>
        <w:jc w:val="both"/>
        <w:rPr>
          <w:szCs w:val="28"/>
        </w:rPr>
      </w:pPr>
      <w:r w:rsidRPr="000B6FE5">
        <w:rPr>
          <w:szCs w:val="28"/>
        </w:rPr>
        <w:lastRenderedPageBreak/>
        <w:t xml:space="preserve">Зменшена заборгованість на підприємствах-банкрутах: на </w:t>
      </w:r>
      <w:r w:rsidRPr="000B6FE5">
        <w:rPr>
          <w:szCs w:val="28"/>
        </w:rPr>
        <w:br/>
        <w:t xml:space="preserve">державному підприємстві «Хімпром» на 420,8 тис. грн. (11,6 %), на державному підприємстві «48 завод залізничної техніки» – на 65 тис. грн. </w:t>
      </w:r>
      <w:r w:rsidRPr="000B6FE5">
        <w:rPr>
          <w:szCs w:val="28"/>
        </w:rPr>
        <w:br/>
        <w:t xml:space="preserve">(5 %), на державному підприємстві «Івашківський спиртзавод» – </w:t>
      </w:r>
      <w:r w:rsidRPr="000B6FE5">
        <w:rPr>
          <w:szCs w:val="28"/>
        </w:rPr>
        <w:br/>
        <w:t>на 9,7 тис. грн. (4,5 %).</w:t>
      </w:r>
    </w:p>
    <w:p w:rsidR="00106ED8" w:rsidRPr="000B6FE5" w:rsidRDefault="00106ED8" w:rsidP="009F3E87">
      <w:pPr>
        <w:pStyle w:val="a3"/>
        <w:spacing w:after="0"/>
        <w:ind w:firstLine="720"/>
        <w:jc w:val="both"/>
        <w:rPr>
          <w:szCs w:val="28"/>
        </w:rPr>
      </w:pPr>
      <w:r w:rsidRPr="000B6FE5">
        <w:rPr>
          <w:szCs w:val="28"/>
        </w:rPr>
        <w:t>Разом з тим, у серпні 2010 року зросли борги з виплати заробітної плати на економічно активних підприємствах Зміївського, Коломацького та Печенізького районів, не відбулося скорочення у м. Люботин.</w:t>
      </w:r>
    </w:p>
    <w:p w:rsidR="00106ED8" w:rsidRPr="000B6FE5" w:rsidRDefault="00106ED8" w:rsidP="009F3E87">
      <w:pPr>
        <w:pStyle w:val="a3"/>
        <w:spacing w:after="0"/>
        <w:ind w:firstLine="720"/>
        <w:jc w:val="both"/>
        <w:rPr>
          <w:szCs w:val="28"/>
        </w:rPr>
      </w:pPr>
      <w:r w:rsidRPr="000B6FE5">
        <w:rPr>
          <w:szCs w:val="28"/>
        </w:rPr>
        <w:t xml:space="preserve">З’явилися борги на комунальних підприємствах у Борівському, Зміївському районах та м. Куп’янськ. </w:t>
      </w:r>
    </w:p>
    <w:p w:rsidR="00106ED8" w:rsidRPr="000B6FE5" w:rsidRDefault="00106ED8" w:rsidP="009F3E87">
      <w:pPr>
        <w:pStyle w:val="a3"/>
        <w:spacing w:after="0"/>
        <w:ind w:firstLine="720"/>
        <w:jc w:val="both"/>
        <w:rPr>
          <w:szCs w:val="28"/>
        </w:rPr>
      </w:pPr>
      <w:r w:rsidRPr="000B6FE5">
        <w:rPr>
          <w:szCs w:val="28"/>
        </w:rPr>
        <w:t xml:space="preserve">Борг підприємств, установ та організацій по внесках до Пенсійного фонду України на 13.09.10 склав 242,6 млн. грн., в тому числі недоїмка – </w:t>
      </w:r>
      <w:r w:rsidR="009E4FBF" w:rsidRPr="009E4FBF">
        <w:rPr>
          <w:szCs w:val="28"/>
          <w:lang w:val="ru-RU"/>
        </w:rPr>
        <w:t xml:space="preserve">                 </w:t>
      </w:r>
      <w:r w:rsidRPr="000B6FE5">
        <w:rPr>
          <w:szCs w:val="28"/>
        </w:rPr>
        <w:t>213,5 млн. грн., пеня – 13,0 млн. грн., фінансові санкції – 16,1 млн. грн., та скоротився до початку вересня на 2,1 млн. грн. (0,9 %).</w:t>
      </w:r>
    </w:p>
    <w:p w:rsidR="00106ED8" w:rsidRPr="000B6FE5" w:rsidRDefault="00106ED8" w:rsidP="009F3E87">
      <w:pPr>
        <w:pStyle w:val="a3"/>
        <w:spacing w:after="0"/>
        <w:ind w:firstLine="720"/>
        <w:jc w:val="both"/>
        <w:rPr>
          <w:szCs w:val="28"/>
        </w:rPr>
      </w:pPr>
      <w:r w:rsidRPr="000B6FE5">
        <w:rPr>
          <w:szCs w:val="28"/>
        </w:rPr>
        <w:t>У вересні 2010 року борг економічно-активних платників по внесках до Пенсійного фонду України зменшився на 1,4 млн. грн. (1,5 %) і на 13.09.10 склав 89,6 млн. грн.</w:t>
      </w:r>
    </w:p>
    <w:p w:rsidR="00106ED8" w:rsidRPr="000B6FE5" w:rsidRDefault="00106ED8" w:rsidP="009F3E87">
      <w:pPr>
        <w:pStyle w:val="a3"/>
        <w:spacing w:after="0"/>
        <w:ind w:firstLine="720"/>
        <w:jc w:val="both"/>
        <w:rPr>
          <w:szCs w:val="28"/>
        </w:rPr>
      </w:pPr>
      <w:r w:rsidRPr="000B6FE5">
        <w:rPr>
          <w:szCs w:val="28"/>
        </w:rPr>
        <w:t>Основні борги зосереджені на таких підприємствах як:</w:t>
      </w:r>
    </w:p>
    <w:p w:rsidR="00106ED8" w:rsidRPr="000B6FE5" w:rsidRDefault="00106ED8" w:rsidP="009F3E87">
      <w:pPr>
        <w:pStyle w:val="a3"/>
        <w:spacing w:after="0"/>
        <w:ind w:firstLine="720"/>
        <w:jc w:val="both"/>
        <w:rPr>
          <w:szCs w:val="28"/>
        </w:rPr>
      </w:pPr>
      <w:r w:rsidRPr="000B6FE5">
        <w:rPr>
          <w:szCs w:val="28"/>
        </w:rPr>
        <w:t>Харківське державне авіаційне виробниче підприємство –</w:t>
      </w:r>
      <w:r w:rsidRPr="000B6FE5">
        <w:rPr>
          <w:szCs w:val="28"/>
        </w:rPr>
        <w:br/>
        <w:t>47,2 млн. грн.;</w:t>
      </w:r>
    </w:p>
    <w:p w:rsidR="00106ED8" w:rsidRPr="000B6FE5" w:rsidRDefault="00106ED8" w:rsidP="009F3E87">
      <w:pPr>
        <w:pStyle w:val="a3"/>
        <w:spacing w:after="0"/>
        <w:ind w:firstLine="720"/>
        <w:jc w:val="both"/>
        <w:rPr>
          <w:szCs w:val="28"/>
        </w:rPr>
      </w:pPr>
      <w:r w:rsidRPr="000B6FE5">
        <w:rPr>
          <w:szCs w:val="28"/>
        </w:rPr>
        <w:t>державне підприємство «Хімпром» – 20,1 млн. грн.;</w:t>
      </w:r>
    </w:p>
    <w:p w:rsidR="00106ED8" w:rsidRPr="000B6FE5" w:rsidRDefault="00106ED8" w:rsidP="009F3E87">
      <w:pPr>
        <w:pStyle w:val="a3"/>
        <w:spacing w:after="0"/>
        <w:ind w:firstLine="720"/>
        <w:jc w:val="both"/>
        <w:rPr>
          <w:szCs w:val="28"/>
        </w:rPr>
      </w:pPr>
      <w:r w:rsidRPr="000B6FE5">
        <w:rPr>
          <w:szCs w:val="28"/>
        </w:rPr>
        <w:t xml:space="preserve">державне підприємство «Завод ім. Малишева» – 11,1 млн. грн.; </w:t>
      </w:r>
    </w:p>
    <w:p w:rsidR="00106ED8" w:rsidRPr="000B6FE5" w:rsidRDefault="00106ED8" w:rsidP="009F3E87">
      <w:pPr>
        <w:pStyle w:val="a3"/>
        <w:spacing w:after="0"/>
        <w:ind w:firstLine="720"/>
        <w:jc w:val="both"/>
        <w:rPr>
          <w:szCs w:val="28"/>
        </w:rPr>
      </w:pPr>
      <w:r w:rsidRPr="000B6FE5">
        <w:rPr>
          <w:szCs w:val="28"/>
        </w:rPr>
        <w:t xml:space="preserve">державне підприємство «Харківський приладобудівний завод </w:t>
      </w:r>
      <w:r w:rsidRPr="000B6FE5">
        <w:rPr>
          <w:szCs w:val="28"/>
        </w:rPr>
        <w:br/>
        <w:t xml:space="preserve">ім. Т.Г. Шевченка» – 9,1 млн. грн.; </w:t>
      </w:r>
    </w:p>
    <w:p w:rsidR="00106ED8" w:rsidRPr="000B6FE5" w:rsidRDefault="00106ED8" w:rsidP="009F3E87">
      <w:pPr>
        <w:pStyle w:val="a3"/>
        <w:spacing w:after="0"/>
        <w:ind w:firstLine="720"/>
        <w:jc w:val="both"/>
        <w:rPr>
          <w:szCs w:val="28"/>
        </w:rPr>
      </w:pPr>
      <w:r w:rsidRPr="000B6FE5">
        <w:rPr>
          <w:szCs w:val="28"/>
        </w:rPr>
        <w:t>державне підприємство «Харківський електромеханічний завод» – 6,3 млн. грн.</w:t>
      </w:r>
    </w:p>
    <w:p w:rsidR="00106ED8" w:rsidRPr="000B6FE5" w:rsidRDefault="00106ED8" w:rsidP="009F3E87">
      <w:pPr>
        <w:pStyle w:val="a3"/>
        <w:spacing w:after="0"/>
        <w:ind w:firstLine="720"/>
        <w:jc w:val="both"/>
        <w:rPr>
          <w:szCs w:val="28"/>
        </w:rPr>
      </w:pPr>
      <w:r w:rsidRPr="000B6FE5">
        <w:rPr>
          <w:szCs w:val="28"/>
        </w:rPr>
        <w:t>Заборгованість активних сільськогосподарських підприємств з початку вересня 2010 року зменшилася на 264,2 тис. грн. (6,3 %)</w:t>
      </w:r>
      <w:r w:rsidRPr="000B6FE5">
        <w:rPr>
          <w:color w:val="FF0000"/>
          <w:szCs w:val="28"/>
        </w:rPr>
        <w:t xml:space="preserve"> </w:t>
      </w:r>
      <w:r w:rsidRPr="000B6FE5">
        <w:rPr>
          <w:szCs w:val="28"/>
        </w:rPr>
        <w:t xml:space="preserve">і на 16.09.10 склала </w:t>
      </w:r>
      <w:r w:rsidRPr="00106ED8">
        <w:rPr>
          <w:szCs w:val="28"/>
          <w:lang w:val="ru-RU"/>
        </w:rPr>
        <w:t xml:space="preserve">          </w:t>
      </w:r>
      <w:r w:rsidRPr="000B6FE5">
        <w:rPr>
          <w:szCs w:val="28"/>
        </w:rPr>
        <w:t>4,2 млн. грн.</w:t>
      </w:r>
    </w:p>
    <w:p w:rsidR="00106ED8" w:rsidRPr="000B6FE5" w:rsidRDefault="00106ED8" w:rsidP="009F3E87">
      <w:pPr>
        <w:pStyle w:val="a3"/>
        <w:spacing w:after="0"/>
        <w:ind w:firstLine="720"/>
        <w:jc w:val="both"/>
        <w:rPr>
          <w:szCs w:val="28"/>
        </w:rPr>
      </w:pPr>
      <w:r w:rsidRPr="000B6FE5">
        <w:rPr>
          <w:szCs w:val="28"/>
        </w:rPr>
        <w:t>Борг платників, які знаходяться в процедурі банкрутства, а також мають безнадійні борги, складає 152,9 млн. грн. і зменшений у вересні 2010 року на 0,7 млн. грн. (0, 5 %).</w:t>
      </w:r>
    </w:p>
    <w:p w:rsidR="00106ED8" w:rsidRPr="000B6FE5" w:rsidRDefault="00106ED8" w:rsidP="009F3E87">
      <w:pPr>
        <w:pStyle w:val="a3"/>
        <w:spacing w:after="0"/>
        <w:ind w:firstLine="720"/>
        <w:jc w:val="both"/>
        <w:rPr>
          <w:szCs w:val="28"/>
        </w:rPr>
      </w:pPr>
      <w:r w:rsidRPr="000B6FE5">
        <w:rPr>
          <w:szCs w:val="28"/>
        </w:rPr>
        <w:t>В серпні 2010 року зростання заборгованості по внесках до Пенсійного фонду України відбулося у Балаклійському, Богодухівському, Великобурлуцькому, Вовчанському, Золочівському, Ізюмському, Кегичівському, Краснокутському, Лозівському, Нововодолазькому, Первомайському, Печенізькому, Сахновщинському районах області, у містах Ізюм, Куп’янськ, Лозова, Чугуїв, Люботин та в Дзержинському, Комінтернівському, Ленінському, Московському, Жовтневому, Орджонікідзевському районах м. Харків.</w:t>
      </w:r>
    </w:p>
    <w:p w:rsidR="00106ED8" w:rsidRPr="000B6FE5" w:rsidRDefault="00106ED8" w:rsidP="009F3E87">
      <w:pPr>
        <w:pStyle w:val="a3"/>
        <w:spacing w:after="0"/>
        <w:ind w:firstLine="720"/>
        <w:jc w:val="both"/>
        <w:rPr>
          <w:szCs w:val="28"/>
        </w:rPr>
      </w:pPr>
      <w:r w:rsidRPr="000B6FE5">
        <w:rPr>
          <w:szCs w:val="28"/>
        </w:rPr>
        <w:t xml:space="preserve">Протягом серпня поточного року стан зайнятості населення був стабільним. </w:t>
      </w:r>
    </w:p>
    <w:p w:rsidR="00106ED8" w:rsidRPr="000B6FE5" w:rsidRDefault="00106ED8" w:rsidP="009F3E87">
      <w:pPr>
        <w:pStyle w:val="a3"/>
        <w:spacing w:after="0"/>
        <w:ind w:firstLine="720"/>
        <w:jc w:val="both"/>
        <w:rPr>
          <w:szCs w:val="28"/>
        </w:rPr>
      </w:pPr>
      <w:r w:rsidRPr="000B6FE5">
        <w:rPr>
          <w:szCs w:val="28"/>
        </w:rPr>
        <w:t xml:space="preserve">Збільшувалася чисельність найманих працівників в сільському господарстві, переробній промисловості, будівництві, торгівлі та інших сферах. В реальному секторі економіки зайнято 661,7 тис. осіб. </w:t>
      </w:r>
    </w:p>
    <w:p w:rsidR="00106ED8" w:rsidRPr="000B6FE5" w:rsidRDefault="00106ED8" w:rsidP="009F3E87">
      <w:pPr>
        <w:pStyle w:val="a3"/>
        <w:spacing w:after="0"/>
        <w:ind w:firstLine="720"/>
        <w:jc w:val="both"/>
        <w:rPr>
          <w:szCs w:val="28"/>
        </w:rPr>
      </w:pPr>
      <w:r w:rsidRPr="000B6FE5">
        <w:rPr>
          <w:szCs w:val="28"/>
        </w:rPr>
        <w:lastRenderedPageBreak/>
        <w:t>Відбувалось подальше скорочення обсягів вимушеної неповної зайнятості. У липні 2010 року чисельність працівників, які перебували у відпустках без збереження заробітної плати, зменшилась, відповідно до попереднього місяця, на 16,1 % (773 особи), а кількість працюючих у режимі скороченого робочого дня (тижня) – на 8,2 % (2,5 тис. осіб).</w:t>
      </w:r>
    </w:p>
    <w:p w:rsidR="00106ED8" w:rsidRPr="000B6FE5" w:rsidRDefault="00106ED8" w:rsidP="009F3E87">
      <w:pPr>
        <w:pStyle w:val="a3"/>
        <w:spacing w:after="0"/>
        <w:ind w:firstLine="720"/>
        <w:jc w:val="both"/>
        <w:rPr>
          <w:szCs w:val="28"/>
        </w:rPr>
      </w:pPr>
      <w:r w:rsidRPr="000B6FE5">
        <w:rPr>
          <w:szCs w:val="28"/>
        </w:rPr>
        <w:t>Залишається позитивною динаміка показників створення нових робочих місць. Їх кількість порівняно з 8 місяцями 2009 року збільшилась на 34,1 % та склала 35,0 тис. одиниць.</w:t>
      </w:r>
    </w:p>
    <w:p w:rsidR="00106ED8" w:rsidRPr="000B6FE5" w:rsidRDefault="00106ED8" w:rsidP="009F3E87">
      <w:pPr>
        <w:pStyle w:val="a3"/>
        <w:spacing w:after="0"/>
        <w:ind w:firstLine="720"/>
        <w:jc w:val="both"/>
        <w:rPr>
          <w:szCs w:val="28"/>
        </w:rPr>
      </w:pPr>
      <w:r w:rsidRPr="000B6FE5">
        <w:rPr>
          <w:szCs w:val="28"/>
        </w:rPr>
        <w:t xml:space="preserve">За 8 місяців поточного року підприємствам та організаціям області надано дотацій в обсязі майже 10,0 млн. грн. У серпні 2010 року таким шляхом було працевлаштовано 349 безробітних, що на 39,6 % більше за середньомісячний показник у І півріччі 2010 року. </w:t>
      </w:r>
    </w:p>
    <w:p w:rsidR="00106ED8" w:rsidRPr="000B6FE5" w:rsidRDefault="00106ED8" w:rsidP="009F3E87">
      <w:pPr>
        <w:pStyle w:val="a3"/>
        <w:spacing w:after="0"/>
        <w:ind w:firstLine="720"/>
        <w:jc w:val="both"/>
        <w:rPr>
          <w:szCs w:val="28"/>
        </w:rPr>
      </w:pPr>
      <w:r w:rsidRPr="000B6FE5">
        <w:rPr>
          <w:szCs w:val="28"/>
        </w:rPr>
        <w:t>Використання солідарної системи фінансування оплачуваних громадських робіт за рахунок коштів підприємств, місцевих бюджетів та Фонду загальнообов'язкового державного соціального страхування України на випадок безробіття сприяло їх розвитку у поточному році. Проти 8 місяців 2009 року їх обсяг збільшився на 86,8 % та склав 16,7 тис. осіб.</w:t>
      </w:r>
    </w:p>
    <w:p w:rsidR="00106ED8" w:rsidRPr="000B6FE5" w:rsidRDefault="00106ED8" w:rsidP="009F3E87">
      <w:pPr>
        <w:pStyle w:val="a3"/>
        <w:spacing w:after="0"/>
        <w:ind w:firstLine="720"/>
        <w:jc w:val="both"/>
        <w:rPr>
          <w:szCs w:val="28"/>
        </w:rPr>
      </w:pPr>
      <w:r w:rsidRPr="000B6FE5">
        <w:rPr>
          <w:szCs w:val="28"/>
        </w:rPr>
        <w:t>У цілому, із 79,9 тис. громадян, які перебували на обліку в територіальних центрах зайнятості протягом січня – серпня 2010 року, до активних форм зайнятості (працевлаштування, професійна підготовка, участь в оплачуваних громадських роботах) залучено майже 60,0 тис. осіб, або 74,8 %. Це на 27,8 % більше проти відповідного періоду 2009 року.</w:t>
      </w:r>
    </w:p>
    <w:p w:rsidR="00106ED8" w:rsidRPr="000B6FE5" w:rsidRDefault="00106ED8" w:rsidP="009F3E87">
      <w:pPr>
        <w:pStyle w:val="a3"/>
        <w:spacing w:after="0"/>
        <w:ind w:firstLine="720"/>
        <w:jc w:val="both"/>
        <w:rPr>
          <w:szCs w:val="28"/>
        </w:rPr>
      </w:pPr>
      <w:r w:rsidRPr="000B6FE5">
        <w:rPr>
          <w:szCs w:val="28"/>
        </w:rPr>
        <w:t>У результаті, відбулося подальше скорочення рівня офіційно зареєстрованого безробіття. На 01.09.10 його значення дорівнювало 1,39 % при 1,41 % на 01.08.10.</w:t>
      </w:r>
    </w:p>
    <w:p w:rsidR="00106ED8" w:rsidRPr="000B6FE5" w:rsidRDefault="00106ED8" w:rsidP="009F3E87">
      <w:pPr>
        <w:pStyle w:val="a3"/>
        <w:spacing w:after="0"/>
        <w:ind w:firstLine="720"/>
        <w:jc w:val="both"/>
        <w:rPr>
          <w:szCs w:val="28"/>
        </w:rPr>
      </w:pPr>
      <w:r w:rsidRPr="000B6FE5">
        <w:rPr>
          <w:szCs w:val="28"/>
        </w:rPr>
        <w:t xml:space="preserve">В установлені терміни забезпечено виконання заходів рішення колегії обласної державної адміністрації від 25 серпня 2010 року «Про погашення заборгованості з виплати заробітної плати, внесків до Пенсійного фонду України та стан зайнятості населення області». </w:t>
      </w:r>
    </w:p>
    <w:p w:rsidR="00106ED8" w:rsidRPr="000B6FE5" w:rsidRDefault="00106ED8" w:rsidP="009F3E87">
      <w:pPr>
        <w:pStyle w:val="a3"/>
        <w:spacing w:after="0"/>
        <w:ind w:firstLine="720"/>
        <w:jc w:val="both"/>
        <w:rPr>
          <w:szCs w:val="28"/>
        </w:rPr>
      </w:pPr>
      <w:r w:rsidRPr="000B6FE5">
        <w:rPr>
          <w:szCs w:val="28"/>
        </w:rPr>
        <w:t xml:space="preserve">Головним управлінням праці та соціального захисту населення Харківської обласної державної адміністрації та Головним управлінням Пенсійного фонду України в Харківській області затверджений план спільних перевірок на </w:t>
      </w:r>
      <w:r w:rsidRPr="000B6FE5">
        <w:rPr>
          <w:szCs w:val="28"/>
          <w:lang w:val="en-US"/>
        </w:rPr>
        <w:t>IV</w:t>
      </w:r>
      <w:r w:rsidRPr="000B6FE5">
        <w:rPr>
          <w:szCs w:val="28"/>
        </w:rPr>
        <w:t xml:space="preserve"> квартал 2010 року з питань дотримання роботодавцями всіх форм організації вимог трудового законодавства. </w:t>
      </w:r>
    </w:p>
    <w:p w:rsidR="00106ED8" w:rsidRPr="000B6FE5" w:rsidRDefault="00106ED8" w:rsidP="009F3E87">
      <w:pPr>
        <w:pStyle w:val="a3"/>
        <w:spacing w:after="0"/>
        <w:ind w:firstLine="720"/>
        <w:jc w:val="both"/>
        <w:rPr>
          <w:szCs w:val="28"/>
        </w:rPr>
      </w:pPr>
      <w:r w:rsidRPr="000B6FE5">
        <w:rPr>
          <w:szCs w:val="28"/>
        </w:rPr>
        <w:t>Кабінету Міністрів України та Правлінню Фонду загальнообов'язкового державного соціального страхування України на випадок безробіття направлені пропозиції щодо удосконалення чинного законодавства та нормативних актів з метою створення сприятливих умов для отримання роботодавцями послуг Харківського обласного центру зайнятості.</w:t>
      </w:r>
    </w:p>
    <w:p w:rsidR="00106ED8" w:rsidRPr="000B6FE5" w:rsidRDefault="00106ED8" w:rsidP="009F3E87">
      <w:pPr>
        <w:pStyle w:val="a3"/>
        <w:spacing w:after="0"/>
        <w:ind w:firstLine="720"/>
        <w:jc w:val="both"/>
        <w:rPr>
          <w:szCs w:val="28"/>
        </w:rPr>
      </w:pPr>
      <w:r w:rsidRPr="000B6FE5">
        <w:rPr>
          <w:szCs w:val="28"/>
        </w:rPr>
        <w:t xml:space="preserve">Між Харківським обласним центром зайнятості, Об’єднанням організацій роботодавців Харківської області та Об’єднанням організацій роботодавців Харківщини затверджений План спільних заходів, спрямований на надання дотацій, професійну підготовку працівників з числа безробітних під конкретні робочі місця, здійснення профілактичних заходів щодо запобігання настанню випадків безробіття. </w:t>
      </w:r>
    </w:p>
    <w:p w:rsidR="00106ED8" w:rsidRPr="000B6FE5" w:rsidRDefault="00106ED8" w:rsidP="009F3E87">
      <w:pPr>
        <w:pStyle w:val="a3"/>
        <w:spacing w:after="0"/>
        <w:ind w:firstLine="720"/>
        <w:jc w:val="both"/>
        <w:rPr>
          <w:sz w:val="18"/>
          <w:szCs w:val="18"/>
        </w:rPr>
      </w:pPr>
      <w:r w:rsidRPr="000B6FE5">
        <w:rPr>
          <w:szCs w:val="28"/>
        </w:rPr>
        <w:lastRenderedPageBreak/>
        <w:t xml:space="preserve">З метою виконання рішення колегії обласної державної адміністрації від 25 серпня 2010 року «Про погашення заборгованості з виплати заробітної плати, внесків до Пенсійного фонду України та стан зайнятості населення області» </w:t>
      </w:r>
      <w:r w:rsidRPr="000B6FE5">
        <w:rPr>
          <w:bCs/>
          <w:iCs/>
          <w:szCs w:val="28"/>
        </w:rPr>
        <w:t>колегія обласної державної адміністрації вважає за необхідне</w:t>
      </w:r>
      <w:r w:rsidRPr="000B6FE5">
        <w:rPr>
          <w:szCs w:val="28"/>
        </w:rPr>
        <w:t>:</w:t>
      </w:r>
    </w:p>
    <w:p w:rsidR="00106ED8" w:rsidRPr="000B6FE5" w:rsidRDefault="00106ED8" w:rsidP="009F3E87">
      <w:pPr>
        <w:pStyle w:val="a3"/>
        <w:spacing w:after="0"/>
        <w:ind w:firstLine="720"/>
        <w:jc w:val="both"/>
        <w:rPr>
          <w:sz w:val="18"/>
          <w:szCs w:val="18"/>
        </w:rPr>
      </w:pPr>
    </w:p>
    <w:p w:rsidR="00106ED8" w:rsidRPr="000B6FE5" w:rsidRDefault="00106ED8" w:rsidP="009F3E87">
      <w:pPr>
        <w:pStyle w:val="a3"/>
        <w:spacing w:after="0"/>
        <w:ind w:firstLine="720"/>
        <w:jc w:val="both"/>
        <w:rPr>
          <w:szCs w:val="28"/>
        </w:rPr>
      </w:pPr>
      <w:r w:rsidRPr="000B6FE5">
        <w:rPr>
          <w:szCs w:val="28"/>
        </w:rPr>
        <w:t xml:space="preserve">1. Інформацію начальника Головного управління праці та соціального захисту населення Харківської обласної державної адміністрації </w:t>
      </w:r>
      <w:r w:rsidRPr="000B6FE5">
        <w:rPr>
          <w:szCs w:val="28"/>
        </w:rPr>
        <w:br/>
        <w:t>Захуцької О.В. взяти до відома.</w:t>
      </w:r>
    </w:p>
    <w:p w:rsidR="00106ED8" w:rsidRPr="000B6FE5" w:rsidRDefault="00106ED8" w:rsidP="009F3E87">
      <w:pPr>
        <w:pStyle w:val="a3"/>
        <w:spacing w:after="0"/>
        <w:ind w:firstLine="720"/>
        <w:jc w:val="both"/>
        <w:rPr>
          <w:sz w:val="18"/>
          <w:szCs w:val="18"/>
        </w:rPr>
      </w:pPr>
    </w:p>
    <w:p w:rsidR="00106ED8" w:rsidRPr="000B6FE5" w:rsidRDefault="00106ED8" w:rsidP="009F3E87">
      <w:pPr>
        <w:pStyle w:val="a3"/>
        <w:spacing w:after="0"/>
        <w:ind w:firstLine="720"/>
        <w:jc w:val="both"/>
        <w:rPr>
          <w:szCs w:val="28"/>
        </w:rPr>
      </w:pPr>
      <w:r w:rsidRPr="000B6FE5">
        <w:rPr>
          <w:szCs w:val="28"/>
        </w:rPr>
        <w:t>2. Головам районних державних адміністрацій, начальникам Головних управлінь, управлінь та відділів обласної державної адміністрації продовжити роботу з виконання плану невідкладних заходів щодо погашення заборгованості із виплати заробітної плати, затвердженого розпорядженням Кабінету Міністрів України від 11.08.10 № 1609-р, у визначені терміни.</w:t>
      </w:r>
    </w:p>
    <w:p w:rsidR="00106ED8" w:rsidRDefault="00106ED8" w:rsidP="009F3E87">
      <w:pPr>
        <w:pStyle w:val="a3"/>
        <w:spacing w:after="0"/>
        <w:ind w:firstLine="720"/>
        <w:jc w:val="both"/>
        <w:rPr>
          <w:szCs w:val="28"/>
          <w:lang w:val="ru-RU"/>
        </w:rPr>
      </w:pPr>
      <w:r w:rsidRPr="000B6FE5">
        <w:rPr>
          <w:szCs w:val="28"/>
        </w:rPr>
        <w:t>Запропонувати міським головам міст обласного значення здійснити аналогічні заходи.</w:t>
      </w:r>
    </w:p>
    <w:p w:rsidR="00E92E90" w:rsidRPr="00106ED8" w:rsidRDefault="00E92E90" w:rsidP="00E92E90">
      <w:pPr>
        <w:rPr>
          <w:szCs w:val="28"/>
          <w:lang w:val="ru-RU"/>
        </w:rPr>
      </w:pPr>
    </w:p>
    <w:p w:rsidR="00E92E90" w:rsidRDefault="00E92E90" w:rsidP="00E92E90">
      <w:pPr>
        <w:rPr>
          <w:szCs w:val="28"/>
        </w:rPr>
      </w:pPr>
    </w:p>
    <w:p w:rsidR="00E92E90" w:rsidRDefault="00E92E90" w:rsidP="00E92E90">
      <w:pPr>
        <w:pStyle w:val="11"/>
        <w:rPr>
          <w:b/>
          <w:sz w:val="28"/>
          <w:szCs w:val="28"/>
        </w:rPr>
      </w:pPr>
      <w:r>
        <w:rPr>
          <w:b/>
          <w:sz w:val="28"/>
          <w:szCs w:val="28"/>
        </w:rPr>
        <w:t>Г</w:t>
      </w:r>
      <w:r w:rsidRPr="00AC40A1">
        <w:rPr>
          <w:b/>
          <w:sz w:val="28"/>
          <w:szCs w:val="28"/>
        </w:rPr>
        <w:t>олов</w:t>
      </w:r>
      <w:r>
        <w:rPr>
          <w:b/>
          <w:sz w:val="28"/>
          <w:szCs w:val="28"/>
        </w:rPr>
        <w:t>а</w:t>
      </w:r>
      <w:r w:rsidRPr="00AC40A1">
        <w:rPr>
          <w:b/>
          <w:sz w:val="28"/>
          <w:szCs w:val="28"/>
        </w:rPr>
        <w:t xml:space="preserve"> обласної </w:t>
      </w:r>
      <w:r w:rsidRPr="006A2094">
        <w:rPr>
          <w:b/>
          <w:sz w:val="28"/>
          <w:szCs w:val="28"/>
        </w:rPr>
        <w:t xml:space="preserve">державної </w:t>
      </w:r>
    </w:p>
    <w:p w:rsidR="00E92E90" w:rsidRPr="006A2094" w:rsidRDefault="00E92E90" w:rsidP="00E92E90">
      <w:pPr>
        <w:pStyle w:val="11"/>
        <w:rPr>
          <w:b/>
          <w:sz w:val="28"/>
          <w:szCs w:val="28"/>
        </w:rPr>
      </w:pPr>
      <w:r w:rsidRPr="006A2094">
        <w:rPr>
          <w:b/>
          <w:sz w:val="28"/>
          <w:szCs w:val="28"/>
        </w:rPr>
        <w:t xml:space="preserve">адміністрації, </w:t>
      </w:r>
      <w:r>
        <w:rPr>
          <w:b/>
          <w:sz w:val="28"/>
          <w:szCs w:val="28"/>
        </w:rPr>
        <w:t>голова колегії</w:t>
      </w:r>
      <w:r w:rsidRPr="006A2094">
        <w:rPr>
          <w:b/>
          <w:sz w:val="28"/>
          <w:szCs w:val="28"/>
        </w:rPr>
        <w:tab/>
      </w:r>
      <w:r w:rsidRPr="006A2094">
        <w:rPr>
          <w:b/>
          <w:sz w:val="28"/>
          <w:szCs w:val="28"/>
        </w:rPr>
        <w:tab/>
      </w:r>
      <w:r w:rsidRPr="006A2094">
        <w:rPr>
          <w:b/>
          <w:sz w:val="28"/>
          <w:szCs w:val="28"/>
        </w:rPr>
        <w:tab/>
        <w:t xml:space="preserve">          </w:t>
      </w:r>
      <w:r w:rsidRPr="006A2094">
        <w:rPr>
          <w:b/>
          <w:sz w:val="28"/>
          <w:szCs w:val="28"/>
        </w:rPr>
        <w:tab/>
      </w:r>
      <w:r w:rsidRPr="006A2094">
        <w:rPr>
          <w:b/>
          <w:sz w:val="28"/>
          <w:szCs w:val="28"/>
        </w:rPr>
        <w:tab/>
      </w:r>
      <w:r>
        <w:rPr>
          <w:b/>
          <w:sz w:val="28"/>
          <w:szCs w:val="28"/>
        </w:rPr>
        <w:t xml:space="preserve">    М.М. ДОБКІН </w:t>
      </w:r>
    </w:p>
    <w:p w:rsidR="00E92E90" w:rsidRPr="00290C05" w:rsidRDefault="00E92E90" w:rsidP="00E92E90">
      <w:pPr>
        <w:ind w:firstLine="720"/>
        <w:jc w:val="both"/>
        <w:rPr>
          <w:b/>
          <w:szCs w:val="28"/>
        </w:rPr>
      </w:pPr>
    </w:p>
    <w:p w:rsidR="00E92E90" w:rsidRDefault="00E92E90" w:rsidP="00E92E90">
      <w:pPr>
        <w:rPr>
          <w:sz w:val="24"/>
          <w:szCs w:val="24"/>
          <w:lang w:val="ru-RU"/>
        </w:rPr>
      </w:pPr>
    </w:p>
    <w:p w:rsidR="00E92E90" w:rsidRDefault="00E92E90" w:rsidP="00E92E90">
      <w:pPr>
        <w:rPr>
          <w:sz w:val="24"/>
          <w:szCs w:val="24"/>
          <w:lang w:val="ru-RU"/>
        </w:rPr>
      </w:pPr>
      <w:r w:rsidRPr="007105E8">
        <w:rPr>
          <w:sz w:val="24"/>
          <w:szCs w:val="24"/>
          <w:lang w:val="ru-RU"/>
        </w:rPr>
        <w:t>Хома В.В.</w:t>
      </w:r>
    </w:p>
    <w:p w:rsidR="00E92E90" w:rsidRDefault="00E92E90" w:rsidP="00E92E90">
      <w:pPr>
        <w:rPr>
          <w:sz w:val="24"/>
          <w:szCs w:val="24"/>
          <w:lang w:val="ru-RU"/>
        </w:rPr>
      </w:pPr>
    </w:p>
    <w:p w:rsidR="00E92E90" w:rsidRPr="006A2094" w:rsidRDefault="00E92E90" w:rsidP="00E92E90">
      <w:pPr>
        <w:rPr>
          <w:b/>
          <w:szCs w:val="28"/>
        </w:rPr>
      </w:pPr>
      <w:r>
        <w:rPr>
          <w:sz w:val="24"/>
          <w:szCs w:val="24"/>
          <w:lang w:val="ru-RU"/>
        </w:rPr>
        <w:t>Цирдава І.С.</w:t>
      </w:r>
      <w:r>
        <w:rPr>
          <w:b/>
          <w:szCs w:val="28"/>
        </w:rPr>
        <w:tab/>
      </w:r>
    </w:p>
    <w:p w:rsidR="009B6A49" w:rsidRDefault="009B6A49"/>
    <w:sectPr w:rsidR="009B6A49" w:rsidSect="0022444A">
      <w:headerReference w:type="default" r:id="rId10"/>
      <w:pgSz w:w="11906" w:h="16838"/>
      <w:pgMar w:top="850" w:right="850" w:bottom="850"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74A" w:rsidRDefault="00A8774A" w:rsidP="00106ED8">
      <w:r>
        <w:separator/>
      </w:r>
    </w:p>
  </w:endnote>
  <w:endnote w:type="continuationSeparator" w:id="1">
    <w:p w:rsidR="00A8774A" w:rsidRDefault="00A8774A" w:rsidP="00106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74A" w:rsidRDefault="00A8774A" w:rsidP="00106ED8">
      <w:r>
        <w:separator/>
      </w:r>
    </w:p>
  </w:footnote>
  <w:footnote w:type="continuationSeparator" w:id="1">
    <w:p w:rsidR="00A8774A" w:rsidRDefault="00A8774A" w:rsidP="00106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1771"/>
      <w:docPartObj>
        <w:docPartGallery w:val="Page Numbers (Top of Page)"/>
        <w:docPartUnique/>
      </w:docPartObj>
    </w:sdtPr>
    <w:sdtContent>
      <w:p w:rsidR="00106ED8" w:rsidRDefault="00201DB7">
        <w:pPr>
          <w:pStyle w:val="a7"/>
          <w:jc w:val="center"/>
        </w:pPr>
        <w:fldSimple w:instr=" PAGE   \* MERGEFORMAT ">
          <w:r w:rsidR="000423C6">
            <w:rPr>
              <w:noProof/>
            </w:rPr>
            <w:t>2</w:t>
          </w:r>
        </w:fldSimple>
      </w:p>
    </w:sdtContent>
  </w:sdt>
  <w:p w:rsidR="00106ED8" w:rsidRDefault="00106E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5AA"/>
    <w:multiLevelType w:val="hybridMultilevel"/>
    <w:tmpl w:val="51884C26"/>
    <w:lvl w:ilvl="0" w:tplc="66949F56">
      <w:start w:val="1"/>
      <w:numFmt w:val="decimal"/>
      <w:lvlText w:val="%1."/>
      <w:lvlJc w:val="left"/>
      <w:pPr>
        <w:ind w:left="1924" w:hanging="121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E92E90"/>
    <w:rsid w:val="000423C6"/>
    <w:rsid w:val="00106ED8"/>
    <w:rsid w:val="00201DB7"/>
    <w:rsid w:val="0022444A"/>
    <w:rsid w:val="0053169B"/>
    <w:rsid w:val="005A713A"/>
    <w:rsid w:val="006839D4"/>
    <w:rsid w:val="009B6A49"/>
    <w:rsid w:val="009E4FBF"/>
    <w:rsid w:val="009F3E87"/>
    <w:rsid w:val="00A8774A"/>
    <w:rsid w:val="00AB2BB6"/>
    <w:rsid w:val="00BA76C5"/>
    <w:rsid w:val="00C4318B"/>
    <w:rsid w:val="00DB6C1F"/>
    <w:rsid w:val="00E92E90"/>
    <w:rsid w:val="00F568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9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92E90"/>
    <w:pPr>
      <w:autoSpaceDE w:val="0"/>
      <w:autoSpaceDN w:val="0"/>
      <w:jc w:val="center"/>
      <w:outlineLvl w:val="0"/>
    </w:pPr>
    <w:rPr>
      <w:rFonts w:ascii="Arial" w:hAnsi="Arial" w:cs="Arial"/>
      <w:b/>
      <w:bCs/>
      <w:sz w:val="52"/>
      <w:szCs w:val="52"/>
    </w:rPr>
  </w:style>
  <w:style w:type="paragraph" w:styleId="4">
    <w:name w:val="heading 4"/>
    <w:basedOn w:val="a"/>
    <w:next w:val="a"/>
    <w:link w:val="40"/>
    <w:uiPriority w:val="9"/>
    <w:semiHidden/>
    <w:unhideWhenUsed/>
    <w:qFormat/>
    <w:rsid w:val="00106E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E90"/>
    <w:rPr>
      <w:rFonts w:ascii="Arial" w:eastAsia="Times New Roman" w:hAnsi="Arial" w:cs="Arial"/>
      <w:b/>
      <w:bCs/>
      <w:sz w:val="52"/>
      <w:szCs w:val="52"/>
      <w:lang w:eastAsia="ru-RU"/>
    </w:rPr>
  </w:style>
  <w:style w:type="paragraph" w:customStyle="1" w:styleId="11">
    <w:name w:val="Обычный1"/>
    <w:rsid w:val="00E92E90"/>
    <w:pPr>
      <w:spacing w:after="0" w:line="240" w:lineRule="auto"/>
    </w:pPr>
    <w:rPr>
      <w:rFonts w:ascii="Times New Roman" w:eastAsia="Times New Roman" w:hAnsi="Times New Roman" w:cs="Times New Roman"/>
      <w:sz w:val="26"/>
      <w:szCs w:val="20"/>
      <w:lang w:eastAsia="ru-RU"/>
    </w:rPr>
  </w:style>
  <w:style w:type="paragraph" w:styleId="a3">
    <w:name w:val="Body Text"/>
    <w:basedOn w:val="a"/>
    <w:link w:val="a4"/>
    <w:unhideWhenUsed/>
    <w:rsid w:val="00E92E90"/>
    <w:pPr>
      <w:spacing w:after="120"/>
    </w:pPr>
  </w:style>
  <w:style w:type="character" w:customStyle="1" w:styleId="a4">
    <w:name w:val="Основной текст Знак"/>
    <w:basedOn w:val="a0"/>
    <w:link w:val="a3"/>
    <w:rsid w:val="00E92E90"/>
    <w:rPr>
      <w:rFonts w:ascii="Times New Roman" w:eastAsia="Times New Roman" w:hAnsi="Times New Roman" w:cs="Times New Roman"/>
      <w:sz w:val="28"/>
      <w:szCs w:val="20"/>
      <w:lang w:eastAsia="ru-RU"/>
    </w:rPr>
  </w:style>
  <w:style w:type="paragraph" w:styleId="2">
    <w:name w:val="Body Text 2"/>
    <w:basedOn w:val="a"/>
    <w:link w:val="20"/>
    <w:unhideWhenUsed/>
    <w:rsid w:val="00E92E90"/>
    <w:pPr>
      <w:spacing w:after="120" w:line="480" w:lineRule="auto"/>
    </w:pPr>
  </w:style>
  <w:style w:type="character" w:customStyle="1" w:styleId="20">
    <w:name w:val="Основной текст 2 Знак"/>
    <w:basedOn w:val="a0"/>
    <w:link w:val="2"/>
    <w:rsid w:val="00E92E90"/>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E92E90"/>
    <w:pPr>
      <w:spacing w:after="120"/>
      <w:ind w:left="283"/>
    </w:pPr>
  </w:style>
  <w:style w:type="character" w:customStyle="1" w:styleId="a6">
    <w:name w:val="Основной текст с отступом Знак"/>
    <w:basedOn w:val="a0"/>
    <w:link w:val="a5"/>
    <w:uiPriority w:val="99"/>
    <w:semiHidden/>
    <w:rsid w:val="00E92E90"/>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E92E90"/>
    <w:pPr>
      <w:spacing w:after="120" w:line="480" w:lineRule="auto"/>
      <w:ind w:left="283"/>
    </w:pPr>
  </w:style>
  <w:style w:type="character" w:customStyle="1" w:styleId="22">
    <w:name w:val="Основной текст с отступом 2 Знак"/>
    <w:basedOn w:val="a0"/>
    <w:link w:val="21"/>
    <w:uiPriority w:val="99"/>
    <w:semiHidden/>
    <w:rsid w:val="00E92E90"/>
    <w:rPr>
      <w:rFonts w:ascii="Times New Roman" w:eastAsia="Times New Roman" w:hAnsi="Times New Roman" w:cs="Times New Roman"/>
      <w:sz w:val="28"/>
      <w:szCs w:val="20"/>
      <w:lang w:eastAsia="ru-RU"/>
    </w:rPr>
  </w:style>
  <w:style w:type="paragraph" w:customStyle="1" w:styleId="23">
    <w:name w:val="Обычный2"/>
    <w:rsid w:val="00E92E90"/>
    <w:pPr>
      <w:widowControl w:val="0"/>
      <w:spacing w:after="0" w:line="300" w:lineRule="auto"/>
      <w:ind w:firstLine="760"/>
    </w:pPr>
    <w:rPr>
      <w:rFonts w:ascii="Times New Roman" w:eastAsia="Times New Roman" w:hAnsi="Times New Roman" w:cs="Times New Roman"/>
      <w:snapToGrid w:val="0"/>
      <w:sz w:val="24"/>
      <w:szCs w:val="20"/>
      <w:lang w:eastAsia="ru-RU"/>
    </w:rPr>
  </w:style>
  <w:style w:type="character" w:customStyle="1" w:styleId="40">
    <w:name w:val="Заголовок 4 Знак"/>
    <w:basedOn w:val="a0"/>
    <w:link w:val="4"/>
    <w:uiPriority w:val="9"/>
    <w:semiHidden/>
    <w:rsid w:val="00106ED8"/>
    <w:rPr>
      <w:rFonts w:asciiTheme="majorHAnsi" w:eastAsiaTheme="majorEastAsia" w:hAnsiTheme="majorHAnsi" w:cstheme="majorBidi"/>
      <w:b/>
      <w:bCs/>
      <w:i/>
      <w:iCs/>
      <w:color w:val="4F81BD" w:themeColor="accent1"/>
      <w:sz w:val="28"/>
      <w:szCs w:val="20"/>
      <w:lang w:eastAsia="ru-RU"/>
    </w:rPr>
  </w:style>
  <w:style w:type="paragraph" w:styleId="a7">
    <w:name w:val="header"/>
    <w:basedOn w:val="a"/>
    <w:link w:val="a8"/>
    <w:uiPriority w:val="99"/>
    <w:unhideWhenUsed/>
    <w:rsid w:val="00106ED8"/>
    <w:pPr>
      <w:tabs>
        <w:tab w:val="center" w:pos="4819"/>
        <w:tab w:val="right" w:pos="9639"/>
      </w:tabs>
    </w:pPr>
  </w:style>
  <w:style w:type="character" w:customStyle="1" w:styleId="a8">
    <w:name w:val="Верхний колонтитул Знак"/>
    <w:basedOn w:val="a0"/>
    <w:link w:val="a7"/>
    <w:uiPriority w:val="99"/>
    <w:rsid w:val="00106ED8"/>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106ED8"/>
    <w:pPr>
      <w:tabs>
        <w:tab w:val="center" w:pos="4819"/>
        <w:tab w:val="right" w:pos="9639"/>
      </w:tabs>
    </w:pPr>
  </w:style>
  <w:style w:type="character" w:customStyle="1" w:styleId="aa">
    <w:name w:val="Нижний колонтитул Знак"/>
    <w:basedOn w:val="a0"/>
    <w:link w:val="a9"/>
    <w:uiPriority w:val="99"/>
    <w:semiHidden/>
    <w:rsid w:val="00106ED8"/>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6839D4"/>
    <w:rPr>
      <w:rFonts w:ascii="Tahoma" w:hAnsi="Tahoma" w:cs="Tahoma"/>
      <w:sz w:val="16"/>
      <w:szCs w:val="16"/>
    </w:rPr>
  </w:style>
  <w:style w:type="character" w:customStyle="1" w:styleId="ac">
    <w:name w:val="Текст выноски Знак"/>
    <w:basedOn w:val="a0"/>
    <w:link w:val="ab"/>
    <w:uiPriority w:val="99"/>
    <w:semiHidden/>
    <w:rsid w:val="006839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5F4A-C8F9-4F03-86A0-0F9CCEAB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5456</Words>
  <Characters>3111</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2010-10-07T06:09:00Z</cp:lastPrinted>
  <dcterms:created xsi:type="dcterms:W3CDTF">2010-10-04T11:56:00Z</dcterms:created>
  <dcterms:modified xsi:type="dcterms:W3CDTF">2010-10-07T08:52:00Z</dcterms:modified>
</cp:coreProperties>
</file>