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257E" w14:textId="77777777" w:rsidR="00172098" w:rsidRPr="00916D2F" w:rsidRDefault="00172098" w:rsidP="00172098">
      <w:pPr>
        <w:ind w:firstLine="708"/>
        <w:jc w:val="center"/>
      </w:pPr>
      <w:r w:rsidRPr="00916D2F">
        <w:rPr>
          <w:b/>
          <w:bCs/>
        </w:rPr>
        <w:t xml:space="preserve">Повідомлення </w:t>
      </w:r>
      <w:r w:rsidRPr="004C0D08">
        <w:rPr>
          <w:b/>
        </w:rPr>
        <w:t>ТОВ «</w:t>
      </w:r>
      <w:r w:rsidR="005B37C4" w:rsidRPr="005B37C4">
        <w:rPr>
          <w:b/>
        </w:rPr>
        <w:t>СОКАР ПЕТРОЛЕУМ</w:t>
      </w:r>
      <w:r w:rsidRPr="004C0D08">
        <w:rPr>
          <w:b/>
        </w:rPr>
        <w:t>»</w:t>
      </w:r>
    </w:p>
    <w:p w14:paraId="6B7E2651" w14:textId="77777777" w:rsidR="00172098" w:rsidRDefault="00172098" w:rsidP="00172098">
      <w:pPr>
        <w:jc w:val="center"/>
        <w:rPr>
          <w:b/>
        </w:rPr>
      </w:pPr>
      <w:r w:rsidRPr="00916D2F">
        <w:rPr>
          <w:b/>
        </w:rPr>
        <w:t xml:space="preserve">Про </w:t>
      </w:r>
      <w:r>
        <w:rPr>
          <w:b/>
        </w:rPr>
        <w:t>намір</w:t>
      </w:r>
      <w:r w:rsidRPr="00916D2F">
        <w:rPr>
          <w:b/>
        </w:rPr>
        <w:t xml:space="preserve"> щодо отримання дозволу на викиди забруднююч</w:t>
      </w:r>
      <w:r>
        <w:rPr>
          <w:b/>
        </w:rPr>
        <w:t>их речовин</w:t>
      </w:r>
    </w:p>
    <w:p w14:paraId="6190DF92" w14:textId="77777777" w:rsidR="00172098" w:rsidRDefault="00172098" w:rsidP="00172098">
      <w:pPr>
        <w:jc w:val="center"/>
        <w:rPr>
          <w:b/>
        </w:rPr>
      </w:pPr>
      <w:r>
        <w:rPr>
          <w:b/>
        </w:rPr>
        <w:t>в атмосферне повітря</w:t>
      </w:r>
    </w:p>
    <w:p w14:paraId="0EE13161" w14:textId="77777777" w:rsidR="005B37C4" w:rsidRPr="006D7E32" w:rsidRDefault="005B37C4" w:rsidP="00254067">
      <w:pPr>
        <w:shd w:val="clear" w:color="auto" w:fill="FFFFFF"/>
        <w:jc w:val="both"/>
      </w:pPr>
      <w:bookmarkStart w:id="0" w:name="_Hlk161765175"/>
      <w:r w:rsidRPr="006D7E32">
        <w:rPr>
          <w:i/>
          <w:shd w:val="clear" w:color="auto" w:fill="FFFFFF"/>
        </w:rPr>
        <w:t xml:space="preserve">Повне найменування суб’єкта господарювання: </w:t>
      </w:r>
      <w:r w:rsidRPr="006D7E32">
        <w:t>ТОВАРИСТВО З ОБМЕЖЕНОЮ ВІДПОВІДАЛЬНІСТЮ «</w:t>
      </w:r>
      <w:r w:rsidRPr="00102722">
        <w:rPr>
          <w:szCs w:val="26"/>
          <w:lang/>
        </w:rPr>
        <w:t>СОКАР ПЕТРОЛЕУМ</w:t>
      </w:r>
      <w:r w:rsidRPr="006D7E32">
        <w:t>»</w:t>
      </w:r>
    </w:p>
    <w:p w14:paraId="70300EA8" w14:textId="77777777" w:rsidR="005B37C4" w:rsidRPr="006D7E32" w:rsidRDefault="005B37C4" w:rsidP="00254067">
      <w:pPr>
        <w:shd w:val="clear" w:color="auto" w:fill="FFFFFF"/>
        <w:jc w:val="both"/>
      </w:pPr>
      <w:r w:rsidRPr="006D7E32">
        <w:rPr>
          <w:i/>
          <w:shd w:val="clear" w:color="auto" w:fill="FFFFFF"/>
        </w:rPr>
        <w:t>Скорочене найменування суб’єкта господарювання:</w:t>
      </w:r>
      <w:r w:rsidRPr="006D7E32">
        <w:rPr>
          <w:b/>
          <w:bCs/>
          <w:i/>
        </w:rPr>
        <w:t xml:space="preserve"> </w:t>
      </w:r>
      <w:r w:rsidRPr="006D7E32">
        <w:t>ТОВ «</w:t>
      </w:r>
      <w:bookmarkStart w:id="1" w:name="_Hlk167465718"/>
      <w:r w:rsidRPr="00102722">
        <w:rPr>
          <w:szCs w:val="26"/>
          <w:lang/>
        </w:rPr>
        <w:t>СОКАР ПЕТРОЛЕУМ</w:t>
      </w:r>
      <w:bookmarkEnd w:id="1"/>
      <w:r w:rsidRPr="006D7E32">
        <w:t>»</w:t>
      </w:r>
    </w:p>
    <w:p w14:paraId="7EAF3A9D" w14:textId="77777777" w:rsidR="005B37C4" w:rsidRPr="006D7E32" w:rsidRDefault="005B37C4" w:rsidP="00254067">
      <w:pPr>
        <w:shd w:val="clear" w:color="auto" w:fill="FFFFFF"/>
        <w:jc w:val="both"/>
        <w:rPr>
          <w:bCs/>
        </w:rPr>
      </w:pPr>
      <w:r w:rsidRPr="006D7E32">
        <w:rPr>
          <w:i/>
          <w:shd w:val="clear" w:color="auto" w:fill="FFFFFF"/>
        </w:rPr>
        <w:t>Ідентифікаційний код юридичної особи в ЄДРПОУ:</w:t>
      </w:r>
      <w:r w:rsidRPr="006D7E32">
        <w:rPr>
          <w:shd w:val="clear" w:color="auto" w:fill="FFFFFF"/>
        </w:rPr>
        <w:t xml:space="preserve"> </w:t>
      </w:r>
      <w:r w:rsidRPr="00520BC0">
        <w:t>38305367</w:t>
      </w:r>
    </w:p>
    <w:p w14:paraId="23689558" w14:textId="552B33AA" w:rsidR="005B37C4" w:rsidRPr="006D7E32" w:rsidRDefault="005B37C4" w:rsidP="00254067">
      <w:pPr>
        <w:shd w:val="clear" w:color="auto" w:fill="FFFFFF"/>
        <w:jc w:val="both"/>
      </w:pPr>
      <w:r w:rsidRPr="006D7E32">
        <w:rPr>
          <w:i/>
          <w:shd w:val="clear" w:color="auto" w:fill="FFFFFF"/>
        </w:rPr>
        <w:t>Місцезнаходження суб’єкта господарювання:</w:t>
      </w:r>
      <w:r w:rsidRPr="006D7E32">
        <w:rPr>
          <w:i/>
          <w:color w:val="7F7F7F"/>
          <w:shd w:val="clear" w:color="auto" w:fill="FFFFFF"/>
        </w:rPr>
        <w:t xml:space="preserve"> </w:t>
      </w:r>
      <w:r w:rsidRPr="006D7E32">
        <w:t xml:space="preserve">53207, </w:t>
      </w:r>
      <w:r w:rsidRPr="00520BC0">
        <w:t>18001, Черкаська обл., м. Черкаси, вул. Надпільна, б.</w:t>
      </w:r>
      <w:r>
        <w:t> </w:t>
      </w:r>
      <w:r w:rsidRPr="00520BC0">
        <w:t>226/1</w:t>
      </w:r>
      <w:r>
        <w:t>,</w:t>
      </w:r>
      <w:r w:rsidRPr="006D7E32">
        <w:rPr>
          <w:bCs/>
        </w:rPr>
        <w:t xml:space="preserve"> тел. </w:t>
      </w:r>
      <w:hyperlink r:id="rId4" w:history="1">
        <w:r w:rsidRPr="00A0509C">
          <w:t>+380675055427</w:t>
        </w:r>
      </w:hyperlink>
      <w:r w:rsidRPr="006D7E32">
        <w:t xml:space="preserve">; </w:t>
      </w:r>
      <w:hyperlink r:id="rId5" w:history="1">
        <w:r w:rsidRPr="00F85E40">
          <w:rPr>
            <w:rStyle w:val="a5"/>
          </w:rPr>
          <w:t>n.zakharchenko@socar.ua</w:t>
        </w:r>
      </w:hyperlink>
      <w:r w:rsidRPr="006D7E32">
        <w:t xml:space="preserve"> </w:t>
      </w:r>
    </w:p>
    <w:p w14:paraId="7E3611A1" w14:textId="77777777" w:rsidR="005B37C4" w:rsidRPr="006D7E32" w:rsidRDefault="005B37C4" w:rsidP="00254067">
      <w:pPr>
        <w:shd w:val="clear" w:color="auto" w:fill="FFFFFF"/>
        <w:jc w:val="both"/>
        <w:rPr>
          <w:b/>
          <w:spacing w:val="-4"/>
          <w:shd w:val="clear" w:color="auto" w:fill="FFFFFF"/>
        </w:rPr>
      </w:pPr>
      <w:r w:rsidRPr="006D7E32">
        <w:rPr>
          <w:i/>
          <w:shd w:val="clear" w:color="auto" w:fill="FFFFFF"/>
        </w:rPr>
        <w:t>Місцезнаходження об’єкта:</w:t>
      </w:r>
      <w:r w:rsidRPr="006D7E32">
        <w:rPr>
          <w:i/>
          <w:color w:val="7F7F7F"/>
          <w:shd w:val="clear" w:color="auto" w:fill="FFFFFF"/>
        </w:rPr>
        <w:t xml:space="preserve"> </w:t>
      </w:r>
      <w:r>
        <w:t xml:space="preserve">61004, </w:t>
      </w:r>
      <w:r w:rsidRPr="00BB42B2">
        <w:t>Харківська обл., м.</w:t>
      </w:r>
      <w:r>
        <w:t> </w:t>
      </w:r>
      <w:r w:rsidRPr="00BB42B2">
        <w:t>Харків, Нет</w:t>
      </w:r>
      <w:r>
        <w:t>і</w:t>
      </w:r>
      <w:r w:rsidRPr="00BB42B2">
        <w:t xml:space="preserve">ченська </w:t>
      </w:r>
      <w:r>
        <w:t>н</w:t>
      </w:r>
      <w:r w:rsidRPr="00BB42B2">
        <w:t xml:space="preserve">абережна, </w:t>
      </w:r>
      <w:r>
        <w:t>б.</w:t>
      </w:r>
      <w:r w:rsidRPr="00BB42B2">
        <w:t>13</w:t>
      </w:r>
      <w:r w:rsidRPr="006D7E32">
        <w:rPr>
          <w:spacing w:val="-4"/>
        </w:rPr>
        <w:t>.</w:t>
      </w:r>
    </w:p>
    <w:p w14:paraId="7B4F4452" w14:textId="77777777" w:rsidR="005B37C4" w:rsidRPr="006D7E32" w:rsidRDefault="005B37C4" w:rsidP="00254067">
      <w:pPr>
        <w:shd w:val="clear" w:color="auto" w:fill="FFFFFF"/>
        <w:jc w:val="both"/>
      </w:pPr>
      <w:r w:rsidRPr="006D7E32">
        <w:rPr>
          <w:i/>
          <w:shd w:val="clear" w:color="auto" w:fill="FFFFFF"/>
        </w:rPr>
        <w:t>Мета отримання дозволу на викиди:</w:t>
      </w:r>
      <w:r w:rsidRPr="006D7E32">
        <w:rPr>
          <w:shd w:val="clear" w:color="auto" w:fill="FFFFFF"/>
        </w:rPr>
        <w:t xml:space="preserve"> </w:t>
      </w:r>
      <w:r w:rsidRPr="006D7E32">
        <w:t xml:space="preserve">Отримання дозволу на викиди для </w:t>
      </w:r>
      <w:r>
        <w:t>новоствореного</w:t>
      </w:r>
      <w:r w:rsidRPr="006D7E32">
        <w:t xml:space="preserve"> об’єкту: </w:t>
      </w:r>
      <w:r w:rsidRPr="00FC5E7C">
        <w:t xml:space="preserve">автогазозаправного пункту (АГЗП) </w:t>
      </w:r>
      <w:r w:rsidRPr="00825100">
        <w:t>по Нетіченській набережній, 13</w:t>
      </w:r>
      <w:r>
        <w:t xml:space="preserve">, </w:t>
      </w:r>
      <w:r w:rsidRPr="006D7E32">
        <w:t xml:space="preserve">який відноситься до </w:t>
      </w:r>
      <w:r w:rsidRPr="006D7E32">
        <w:rPr>
          <w:b/>
          <w:i/>
        </w:rPr>
        <w:t>третьої групи</w:t>
      </w:r>
      <w:r w:rsidRPr="006D7E32"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47274554" w14:textId="77777777" w:rsidR="005B37C4" w:rsidRDefault="005B37C4" w:rsidP="00254067">
      <w:pPr>
        <w:jc w:val="both"/>
      </w:pPr>
      <w:r w:rsidRPr="00FC5E7C">
        <w:t>Висновок з оцінки впливу на довкілля не вимагається, оскільки діяльність об’єкта –</w:t>
      </w:r>
      <w:r>
        <w:rPr>
          <w:lang/>
        </w:rPr>
        <w:t xml:space="preserve"> </w:t>
      </w:r>
      <w:r w:rsidRPr="00FC5E7C">
        <w:t xml:space="preserve">АГЗП по Нетіченській набережній, 13 ТОВ «СОКАР ПЕТРОЛЕУМ» не підлягає оцінці впливу на довкілля згідно з вимогами Закону України «Про оцінку впливу на довкілля» </w:t>
      </w:r>
      <w:r w:rsidRPr="00333B2D">
        <w:t>(ст.3 п.4 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більше)</w:t>
      </w:r>
      <w:r w:rsidRPr="00FC5E7C">
        <w:t xml:space="preserve"> та критеріями, визначеними постановою Кабінету Міністрів України від 13.12.2017 №1010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довкілля».</w:t>
      </w:r>
    </w:p>
    <w:p w14:paraId="489B925D" w14:textId="77777777" w:rsidR="005B37C4" w:rsidRPr="006D7E32" w:rsidRDefault="005B37C4" w:rsidP="00254067">
      <w:pPr>
        <w:shd w:val="clear" w:color="auto" w:fill="FFFFFF"/>
        <w:jc w:val="both"/>
        <w:rPr>
          <w:i/>
          <w:shd w:val="clear" w:color="auto" w:fill="FFFFFF"/>
        </w:rPr>
      </w:pPr>
      <w:r w:rsidRPr="006D7E32">
        <w:rPr>
          <w:i/>
        </w:rPr>
        <w:t>З</w:t>
      </w:r>
      <w:r w:rsidRPr="006D7E32">
        <w:rPr>
          <w:i/>
          <w:shd w:val="clear" w:color="auto" w:fill="FFFFFF"/>
        </w:rPr>
        <w:t xml:space="preserve">агальний опис об’єкта (опис виробництв та технологічного устаткування): </w:t>
      </w:r>
    </w:p>
    <w:p w14:paraId="134AD460" w14:textId="77777777" w:rsidR="005B37C4" w:rsidRDefault="005B37C4" w:rsidP="00254067">
      <w:pPr>
        <w:jc w:val="both"/>
      </w:pPr>
      <w:r w:rsidRPr="00C74F5D">
        <w:t xml:space="preserve">АГЗП по </w:t>
      </w:r>
      <w:r w:rsidRPr="005B37C4">
        <w:t xml:space="preserve">Нетіченській набережній, 13 </w:t>
      </w:r>
      <w:r w:rsidRPr="00C74F5D">
        <w:t>ТОВ «СОКАР ПЕТРОЛЕУМ» надає послуги,</w:t>
      </w:r>
      <w:r w:rsidRPr="006555F9">
        <w:t xml:space="preserve"> пов’язані з заправленням автомобільного транспорту скрапленим вуглеводневим газом.</w:t>
      </w:r>
      <w:r>
        <w:t xml:space="preserve"> На майданчику АГЗП</w:t>
      </w:r>
      <w:r w:rsidRPr="005013BF">
        <w:t xml:space="preserve"> </w:t>
      </w:r>
      <w:r>
        <w:t xml:space="preserve">розташоване </w:t>
      </w:r>
      <w:r w:rsidRPr="006266A7">
        <w:t xml:space="preserve">наступне технологічне устаткування: </w:t>
      </w:r>
      <w:r w:rsidRPr="003E57CC">
        <w:t xml:space="preserve">газовий термінал </w:t>
      </w:r>
      <w:r>
        <w:t xml:space="preserve">з </w:t>
      </w:r>
      <w:r w:rsidRPr="004A4A75">
        <w:t>насосн</w:t>
      </w:r>
      <w:r>
        <w:t>им</w:t>
      </w:r>
      <w:r w:rsidRPr="004A4A75">
        <w:t xml:space="preserve"> устаткування</w:t>
      </w:r>
      <w:r>
        <w:t>м</w:t>
      </w:r>
      <w:r w:rsidRPr="004A4A75">
        <w:t xml:space="preserve"> для перекачування газу з автоцистерн в резервуари, трубопровод</w:t>
      </w:r>
      <w:r>
        <w:t>ам</w:t>
      </w:r>
      <w:r w:rsidRPr="004A4A75">
        <w:t xml:space="preserve">и </w:t>
      </w:r>
      <w:r>
        <w:t>газу</w:t>
      </w:r>
      <w:r w:rsidRPr="004A4A75">
        <w:t>, запірн</w:t>
      </w:r>
      <w:r>
        <w:t>ою</w:t>
      </w:r>
      <w:r w:rsidRPr="004A4A75">
        <w:t xml:space="preserve"> </w:t>
      </w:r>
      <w:r>
        <w:t xml:space="preserve">та </w:t>
      </w:r>
      <w:r w:rsidRPr="004A4A75">
        <w:t>запобіжн</w:t>
      </w:r>
      <w:r>
        <w:t>ою</w:t>
      </w:r>
      <w:r w:rsidRPr="004A4A75">
        <w:t xml:space="preserve"> арматур</w:t>
      </w:r>
      <w:r>
        <w:t>ою</w:t>
      </w:r>
      <w:r w:rsidRPr="004A4A75">
        <w:t>, прилад</w:t>
      </w:r>
      <w:r>
        <w:t>ам</w:t>
      </w:r>
      <w:r w:rsidRPr="004A4A75">
        <w:t>и контролю і автоматики</w:t>
      </w:r>
      <w:r w:rsidRPr="003E57CC">
        <w:t xml:space="preserve">, </w:t>
      </w:r>
      <w:r>
        <w:t>2</w:t>
      </w:r>
      <w:r w:rsidRPr="004A4A75">
        <w:t xml:space="preserve"> підземн</w:t>
      </w:r>
      <w:r>
        <w:t>і</w:t>
      </w:r>
      <w:r w:rsidRPr="004A4A75">
        <w:t xml:space="preserve"> резервуари для зберігання СВГ ємністю 5 м</w:t>
      </w:r>
      <w:r w:rsidRPr="004A4A75">
        <w:rPr>
          <w:vertAlign w:val="superscript"/>
        </w:rPr>
        <w:t>3</w:t>
      </w:r>
      <w:r w:rsidRPr="004A4A75">
        <w:t xml:space="preserve"> кожний</w:t>
      </w:r>
      <w:r>
        <w:t xml:space="preserve">, </w:t>
      </w:r>
      <w:r w:rsidRPr="005013BF">
        <w:t>паливороздавальн</w:t>
      </w:r>
      <w:r>
        <w:t>а</w:t>
      </w:r>
      <w:r w:rsidRPr="005013BF">
        <w:t xml:space="preserve"> колонк</w:t>
      </w:r>
      <w:r>
        <w:t>а</w:t>
      </w:r>
      <w:r w:rsidRPr="005013BF">
        <w:t xml:space="preserve"> </w:t>
      </w:r>
      <w:r>
        <w:t>марки TATSUNO BMP512.SXD/LPG</w:t>
      </w:r>
      <w:r w:rsidRPr="005013BF">
        <w:t xml:space="preserve"> продуктивністю </w:t>
      </w:r>
      <w:r>
        <w:t>50</w:t>
      </w:r>
      <w:r w:rsidRPr="005013BF">
        <w:t xml:space="preserve"> л/хв</w:t>
      </w:r>
      <w:r>
        <w:t>. для</w:t>
      </w:r>
      <w:r w:rsidRPr="00880DC7">
        <w:t xml:space="preserve"> </w:t>
      </w:r>
      <w:r>
        <w:t>з</w:t>
      </w:r>
      <w:r w:rsidRPr="005013BF">
        <w:t xml:space="preserve">аправлення </w:t>
      </w:r>
      <w:r w:rsidRPr="00722E73">
        <w:t>паливних балонів</w:t>
      </w:r>
      <w:r>
        <w:t xml:space="preserve">, </w:t>
      </w:r>
      <w:r w:rsidRPr="00C04902">
        <w:t xml:space="preserve">керування </w:t>
      </w:r>
      <w:r>
        <w:t>газозаправною</w:t>
      </w:r>
      <w:r w:rsidRPr="005013BF">
        <w:t xml:space="preserve"> колонк</w:t>
      </w:r>
      <w:r>
        <w:t>ою здійснюється оператором з кабіни</w:t>
      </w:r>
      <w:r w:rsidRPr="00C04902">
        <w:t xml:space="preserve"> операторської</w:t>
      </w:r>
      <w:r>
        <w:t xml:space="preserve">. </w:t>
      </w:r>
      <w:r w:rsidRPr="005013BF">
        <w:t>Опалення операторської в холодну пору року здійснюється електричними обігрівачами.</w:t>
      </w:r>
      <w:r>
        <w:t xml:space="preserve"> </w:t>
      </w:r>
      <w:r w:rsidRPr="005013BF">
        <w:t>На балансі підприємства автотранспорт відсутній.</w:t>
      </w:r>
    </w:p>
    <w:p w14:paraId="38C23181" w14:textId="77777777" w:rsidR="005B37C4" w:rsidRPr="00B1681C" w:rsidRDefault="005B37C4" w:rsidP="005B37C4">
      <w:pPr>
        <w:shd w:val="clear" w:color="auto" w:fill="FFFFFF"/>
        <w:jc w:val="both"/>
        <w:rPr>
          <w:i/>
        </w:rPr>
      </w:pPr>
      <w:r w:rsidRPr="00D70EBC">
        <w:rPr>
          <w:i/>
        </w:rPr>
        <w:t xml:space="preserve">Відомості щодо видів та обсягів викидів: </w:t>
      </w:r>
      <w:r w:rsidRPr="00D70EBC">
        <w:t>На майданчику існує 5 стаціонарних джерел викидів забруднюючих речовин в атмосферне повітря, з яких 3 організованих, 2 неорганізованих. Джерелами утворення викидів є дихальні клапани резервуарів зберігання СВГ, зливна струбцина, викиди від обслуговування газової апаратури, паливороздавальна колонка. Газоочисне устаткування</w:t>
      </w:r>
      <w:r w:rsidRPr="00B1681C">
        <w:t xml:space="preserve"> </w:t>
      </w:r>
      <w:r w:rsidRPr="00D70EBC">
        <w:t xml:space="preserve">на майданчику відсутнє. Джерела залпових викидів на майданчику відсутні. </w:t>
      </w:r>
      <w:r w:rsidRPr="00D70EBC">
        <w:rPr>
          <w:rStyle w:val="hps"/>
        </w:rPr>
        <w:t>Валовий викид забруднюючих речовин в атмосферне повітря від виробничої діяльності підприємства складає 0,</w:t>
      </w:r>
      <w:r w:rsidRPr="00D70EBC">
        <w:rPr>
          <w:rStyle w:val="hps"/>
          <w:lang/>
        </w:rPr>
        <w:t>54241</w:t>
      </w:r>
      <w:r w:rsidRPr="00D70EBC">
        <w:rPr>
          <w:rStyle w:val="hps"/>
        </w:rPr>
        <w:t xml:space="preserve">7 </w:t>
      </w:r>
      <w:r w:rsidRPr="00D70EBC">
        <w:t>т/рік, в тому числі: Пропан – 0,</w:t>
      </w:r>
      <w:r w:rsidRPr="00D70EBC">
        <w:rPr>
          <w:lang/>
        </w:rPr>
        <w:t>216967</w:t>
      </w:r>
      <w:r w:rsidRPr="00D70EBC">
        <w:t xml:space="preserve"> т/рік; Бутан – 0,</w:t>
      </w:r>
      <w:r w:rsidRPr="00D70EBC">
        <w:rPr>
          <w:lang/>
        </w:rPr>
        <w:t>32545</w:t>
      </w:r>
      <w:r w:rsidRPr="00D70EBC">
        <w:t>0 т/рік.</w:t>
      </w:r>
    </w:p>
    <w:p w14:paraId="0CF1F869" w14:textId="77777777" w:rsidR="005B37C4" w:rsidRPr="006D7E32" w:rsidRDefault="005B37C4" w:rsidP="005B37C4">
      <w:pPr>
        <w:shd w:val="clear" w:color="auto" w:fill="FFFFFF"/>
        <w:jc w:val="both"/>
        <w:rPr>
          <w:rStyle w:val="tx1"/>
          <w:b w:val="0"/>
        </w:rPr>
      </w:pPr>
      <w:r w:rsidRPr="006D7E32">
        <w:rPr>
          <w:i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6D7E32">
        <w:t>Виробництва та технологічне устаткування, на яких повинні впроваджуватися найкращі доступні технології та методи керування, на об’єкті відсутні</w:t>
      </w:r>
      <w:r w:rsidRPr="006D7E32">
        <w:rPr>
          <w:rStyle w:val="tx1"/>
          <w:b w:val="0"/>
        </w:rPr>
        <w:t>. Заходи не передбачаються.</w:t>
      </w:r>
    </w:p>
    <w:p w14:paraId="39D37FC1" w14:textId="77777777" w:rsidR="005B37C4" w:rsidRPr="006D7E32" w:rsidRDefault="005B37C4" w:rsidP="005B37C4">
      <w:pPr>
        <w:shd w:val="clear" w:color="auto" w:fill="FFFFFF"/>
        <w:jc w:val="both"/>
        <w:rPr>
          <w:rStyle w:val="tx1"/>
          <w:bCs w:val="0"/>
        </w:rPr>
      </w:pPr>
      <w:r w:rsidRPr="006D7E32">
        <w:rPr>
          <w:i/>
        </w:rPr>
        <w:t>Перелік заходів щодо скорочення викидів, що виконані або/та які потребують виконання:</w:t>
      </w:r>
      <w:r w:rsidRPr="006D7E32">
        <w:t xml:space="preserve"> Заходи щодо скорочення викидів забруднюючих речовин не передбачаються.</w:t>
      </w:r>
    </w:p>
    <w:p w14:paraId="01D8DE04" w14:textId="77777777" w:rsidR="005B37C4" w:rsidRPr="006D7E32" w:rsidRDefault="005B37C4" w:rsidP="005B37C4">
      <w:pPr>
        <w:shd w:val="clear" w:color="auto" w:fill="FFFFFF"/>
        <w:jc w:val="both"/>
      </w:pPr>
      <w:r w:rsidRPr="006D7E32">
        <w:rPr>
          <w:i/>
        </w:rPr>
        <w:t>Дотримання виконання природоохоронних заходів щодо скорочення викидів:</w:t>
      </w:r>
      <w:r w:rsidRPr="006D7E32">
        <w:rPr>
          <w:i/>
          <w:color w:val="7F7F7F"/>
        </w:rPr>
        <w:t xml:space="preserve"> </w:t>
      </w:r>
      <w:r w:rsidRPr="006D7E32">
        <w:t xml:space="preserve">Визначені потужності викидів відповідають вимогам </w:t>
      </w:r>
      <w:r w:rsidRPr="006D7E32">
        <w:rPr>
          <w:rStyle w:val="tx1"/>
          <w:b w:val="0"/>
        </w:rPr>
        <w:t>Наказу №309 від 27.06.2006 р</w:t>
      </w:r>
      <w:r w:rsidRPr="006D7E32">
        <w:t>. та забезпечують дотримання нормативів ГДК та гігієнічних нормативів на меж</w:t>
      </w:r>
      <w:r>
        <w:t>і</w:t>
      </w:r>
      <w:r w:rsidRPr="006D7E32">
        <w:t xml:space="preserve"> житлової зони по усіх інгредієнтах, які присутні у викидах </w:t>
      </w:r>
      <w:r>
        <w:t>АГЗП</w:t>
      </w:r>
      <w:r w:rsidRPr="006D7E32">
        <w:t xml:space="preserve">. </w:t>
      </w:r>
      <w:r>
        <w:t>П</w:t>
      </w:r>
      <w:r w:rsidRPr="006D7E32">
        <w:t>риродоохоронні заходи щодо скорочення викидів не розроблялися.</w:t>
      </w:r>
    </w:p>
    <w:p w14:paraId="77C9FD31" w14:textId="77777777" w:rsidR="005B37C4" w:rsidRPr="006D7E32" w:rsidRDefault="005B37C4" w:rsidP="005B37C4">
      <w:pPr>
        <w:shd w:val="clear" w:color="auto" w:fill="FFFFFF"/>
        <w:jc w:val="both"/>
        <w:rPr>
          <w:rFonts w:eastAsia="Cambria"/>
        </w:rPr>
      </w:pPr>
      <w:r w:rsidRPr="006D7E32">
        <w:rPr>
          <w:i/>
        </w:rPr>
        <w:t>Відповідність пропозицій щодо дозволених обсягів викидів законодавству:</w:t>
      </w:r>
      <w:r w:rsidRPr="006D7E32">
        <w:rPr>
          <w:rFonts w:eastAsia="Cambria"/>
        </w:rPr>
        <w:t xml:space="preserve"> Пропозиції щодо дозволених обсягів відповідають </w:t>
      </w:r>
      <w:r w:rsidRPr="006D7E32">
        <w:t xml:space="preserve">вимогам </w:t>
      </w:r>
      <w:r w:rsidRPr="006D7E32">
        <w:rPr>
          <w:rStyle w:val="tx1"/>
          <w:b w:val="0"/>
        </w:rPr>
        <w:t>Наказу №309 від 27.06.2006 р</w:t>
      </w:r>
      <w:r w:rsidRPr="006D7E32">
        <w:t>.</w:t>
      </w:r>
    </w:p>
    <w:p w14:paraId="1C35A2FE" w14:textId="4AA04113" w:rsidR="00D61AFE" w:rsidRDefault="005B37C4" w:rsidP="003951F8">
      <w:pPr>
        <w:shd w:val="clear" w:color="auto" w:fill="FFFFFF"/>
        <w:jc w:val="both"/>
      </w:pPr>
      <w:r w:rsidRPr="006D7E32">
        <w:t xml:space="preserve">Зауваження та пропозиції просимо надсилати протягом 30 </w:t>
      </w:r>
      <w:r w:rsidRPr="002E5D62">
        <w:t xml:space="preserve">календарних днів з дати опублікування інформації в засобах масової інформації </w:t>
      </w:r>
      <w:bookmarkEnd w:id="0"/>
      <w:r w:rsidRPr="002E5D62">
        <w:t>до</w:t>
      </w:r>
      <w:r w:rsidRPr="002E5D62">
        <w:rPr>
          <w:lang w:eastAsia="uk-UA"/>
        </w:rPr>
        <w:t xml:space="preserve"> Харківської обласної військової адміністрації за адресою: 61002, м. Харків, вул. Сумська, 64, тел. </w:t>
      </w:r>
      <w:r w:rsidRPr="002E5D62">
        <w:t xml:space="preserve">(057)700-04-23, (057)700-04-12, е-mail: </w:t>
      </w:r>
      <w:hyperlink r:id="rId6" w:history="1">
        <w:r w:rsidRPr="002E5D62">
          <w:rPr>
            <w:rStyle w:val="a5"/>
            <w:lang w:eastAsia="uk-UA"/>
          </w:rPr>
          <w:t>obladm@kharkivoda.gov.ua</w:t>
        </w:r>
      </w:hyperlink>
      <w:r w:rsidRPr="002E5D62">
        <w:rPr>
          <w:lang w:eastAsia="uk-UA"/>
        </w:rPr>
        <w:t xml:space="preserve"> </w:t>
      </w:r>
    </w:p>
    <w:sectPr w:rsidR="00D61AFE" w:rsidSect="0029620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98"/>
    <w:rsid w:val="0007257F"/>
    <w:rsid w:val="000C353E"/>
    <w:rsid w:val="000F2C3B"/>
    <w:rsid w:val="000F2EE2"/>
    <w:rsid w:val="001304BB"/>
    <w:rsid w:val="0016658B"/>
    <w:rsid w:val="00172098"/>
    <w:rsid w:val="00183C85"/>
    <w:rsid w:val="001E1CEB"/>
    <w:rsid w:val="00254067"/>
    <w:rsid w:val="00296203"/>
    <w:rsid w:val="00341FC5"/>
    <w:rsid w:val="0034691C"/>
    <w:rsid w:val="003951F8"/>
    <w:rsid w:val="004073E2"/>
    <w:rsid w:val="00425523"/>
    <w:rsid w:val="004B580C"/>
    <w:rsid w:val="00503DA4"/>
    <w:rsid w:val="0052778F"/>
    <w:rsid w:val="005B37C4"/>
    <w:rsid w:val="0066259C"/>
    <w:rsid w:val="00703AEB"/>
    <w:rsid w:val="00727E5C"/>
    <w:rsid w:val="007946F0"/>
    <w:rsid w:val="00844CDC"/>
    <w:rsid w:val="00854E9A"/>
    <w:rsid w:val="008B035D"/>
    <w:rsid w:val="0095195C"/>
    <w:rsid w:val="009872B7"/>
    <w:rsid w:val="00A029AB"/>
    <w:rsid w:val="00A31EC3"/>
    <w:rsid w:val="00AA3B4A"/>
    <w:rsid w:val="00AE4057"/>
    <w:rsid w:val="00B52E74"/>
    <w:rsid w:val="00B93D7D"/>
    <w:rsid w:val="00BC3688"/>
    <w:rsid w:val="00BD4689"/>
    <w:rsid w:val="00BD5683"/>
    <w:rsid w:val="00BF1D50"/>
    <w:rsid w:val="00C514D9"/>
    <w:rsid w:val="00C82FA5"/>
    <w:rsid w:val="00D61AFE"/>
    <w:rsid w:val="00D94A64"/>
    <w:rsid w:val="00E072B0"/>
    <w:rsid w:val="00E25FB5"/>
    <w:rsid w:val="00E64282"/>
    <w:rsid w:val="00E75072"/>
    <w:rsid w:val="00EF3857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3AD"/>
  <w15:chartTrackingRefBased/>
  <w15:docId w15:val="{5D681198-487F-442D-B665-4486504C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98"/>
    <w:pPr>
      <w:spacing w:line="240" w:lineRule="auto"/>
      <w:ind w:left="0"/>
      <w:jc w:val="left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"/>
    <w:basedOn w:val="a"/>
    <w:link w:val="a4"/>
    <w:rsid w:val="00172098"/>
    <w:pPr>
      <w:ind w:firstLine="708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aliases w:val="Основной текст с о Знак"/>
    <w:basedOn w:val="a0"/>
    <w:link w:val="a3"/>
    <w:rsid w:val="00172098"/>
    <w:rPr>
      <w:rFonts w:eastAsia="Times New Roman" w:cs="Times New Roman"/>
      <w:color w:val="FF0000"/>
      <w:sz w:val="28"/>
      <w:szCs w:val="24"/>
      <w:lang w:val="uk-UA" w:eastAsia="ru-RU"/>
    </w:rPr>
  </w:style>
  <w:style w:type="character" w:styleId="a5">
    <w:name w:val="Hyperlink"/>
    <w:uiPriority w:val="99"/>
    <w:rsid w:val="00172098"/>
    <w:rPr>
      <w:color w:val="0000FF"/>
      <w:u w:val="single"/>
    </w:rPr>
  </w:style>
  <w:style w:type="character" w:customStyle="1" w:styleId="hps">
    <w:name w:val="hps"/>
    <w:basedOn w:val="a0"/>
    <w:rsid w:val="00172098"/>
  </w:style>
  <w:style w:type="character" w:customStyle="1" w:styleId="tx1">
    <w:name w:val="tx1"/>
    <w:rsid w:val="00172098"/>
    <w:rPr>
      <w:b/>
      <w:bCs/>
    </w:rPr>
  </w:style>
  <w:style w:type="character" w:customStyle="1" w:styleId="2">
    <w:name w:val="Основной текст (2)_"/>
    <w:link w:val="20"/>
    <w:rsid w:val="00A029AB"/>
    <w:rPr>
      <w:lang w:eastAsia="ar-SA" w:bidi="ar-SA"/>
    </w:rPr>
  </w:style>
  <w:style w:type="paragraph" w:customStyle="1" w:styleId="20">
    <w:name w:val="Основной текст (2)"/>
    <w:basedOn w:val="a"/>
    <w:link w:val="2"/>
    <w:rsid w:val="00E64282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 w:cstheme="minorBidi"/>
      <w:szCs w:val="22"/>
      <w:lang w:val="ru-RU" w:eastAsia="ar-SA"/>
    </w:rPr>
  </w:style>
  <w:style w:type="character" w:styleId="a6">
    <w:name w:val="Strong"/>
    <w:uiPriority w:val="22"/>
    <w:qFormat/>
    <w:rsid w:val="000F2C3B"/>
    <w:rPr>
      <w:b/>
      <w:bCs/>
    </w:rPr>
  </w:style>
  <w:style w:type="character" w:customStyle="1" w:styleId="spanrvts0">
    <w:name w:val="span_rvts0"/>
    <w:rsid w:val="005B37C4"/>
    <w:rPr>
      <w:rFonts w:ascii="Verdana" w:eastAsia="Verdana" w:hAnsi="Verdana" w:cs="Verdana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adm@kharkivoda.gov.ua" TargetMode="External"/><Relationship Id="rId5" Type="http://schemas.openxmlformats.org/officeDocument/2006/relationships/hyperlink" Target="mailto:n.zakharchenko@socar.ua" TargetMode="External"/><Relationship Id="rId4" Type="http://schemas.openxmlformats.org/officeDocument/2006/relationships/hyperlink" Target="mailto:+380675055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Igor</cp:lastModifiedBy>
  <cp:revision>28</cp:revision>
  <dcterms:created xsi:type="dcterms:W3CDTF">2023-09-06T07:43:00Z</dcterms:created>
  <dcterms:modified xsi:type="dcterms:W3CDTF">2024-05-27T17:57:00Z</dcterms:modified>
</cp:coreProperties>
</file>