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566E53" w:rsidRPr="00B925C6" w:rsidTr="0055755B">
        <w:tc>
          <w:tcPr>
            <w:tcW w:w="4785" w:type="dxa"/>
          </w:tcPr>
          <w:p w:rsidR="00566E53" w:rsidRPr="00B925C6" w:rsidRDefault="00566E53" w:rsidP="0055755B">
            <w:pPr>
              <w:jc w:val="both"/>
              <w:rPr>
                <w:sz w:val="28"/>
                <w:lang w:val="uk-UA"/>
              </w:rPr>
            </w:pPr>
          </w:p>
        </w:tc>
        <w:tc>
          <w:tcPr>
            <w:tcW w:w="4785" w:type="dxa"/>
          </w:tcPr>
          <w:p w:rsidR="00566E53" w:rsidRPr="00566E53" w:rsidRDefault="00566E53" w:rsidP="0055755B">
            <w:pPr>
              <w:rPr>
                <w:sz w:val="28"/>
                <w:lang w:val="uk-UA"/>
              </w:rPr>
            </w:pPr>
            <w:r w:rsidRPr="00566E53">
              <w:rPr>
                <w:sz w:val="28"/>
                <w:lang w:val="uk-UA"/>
              </w:rPr>
              <w:t>Погоджено</w:t>
            </w:r>
          </w:p>
          <w:p w:rsidR="00566E53" w:rsidRPr="00566E53" w:rsidRDefault="00566E53" w:rsidP="0055755B">
            <w:pPr>
              <w:pStyle w:val="a7"/>
              <w:rPr>
                <w:bCs/>
                <w:sz w:val="28"/>
                <w:lang w:val="uk-UA"/>
              </w:rPr>
            </w:pPr>
          </w:p>
          <w:p w:rsidR="00566E53" w:rsidRPr="00566E53" w:rsidRDefault="00566E53" w:rsidP="0055755B">
            <w:pPr>
              <w:pStyle w:val="a7"/>
              <w:spacing w:after="0"/>
              <w:rPr>
                <w:bCs/>
                <w:sz w:val="28"/>
                <w:lang w:val="uk-UA"/>
              </w:rPr>
            </w:pPr>
            <w:r w:rsidRPr="00566E53">
              <w:rPr>
                <w:sz w:val="28"/>
                <w:lang w:val="uk-UA"/>
              </w:rPr>
              <w:t xml:space="preserve">Заступник голови обласної </w:t>
            </w:r>
          </w:p>
          <w:p w:rsidR="00566E53" w:rsidRPr="00566E53" w:rsidRDefault="00566E53" w:rsidP="0055755B">
            <w:pPr>
              <w:pStyle w:val="a7"/>
              <w:spacing w:after="0"/>
              <w:rPr>
                <w:bCs/>
                <w:sz w:val="28"/>
                <w:lang w:val="uk-UA"/>
              </w:rPr>
            </w:pPr>
            <w:r w:rsidRPr="00566E53">
              <w:rPr>
                <w:sz w:val="28"/>
                <w:lang w:val="uk-UA"/>
              </w:rPr>
              <w:t>державної адміністрації</w:t>
            </w:r>
          </w:p>
          <w:p w:rsidR="00566E53" w:rsidRPr="00566E53" w:rsidRDefault="00566E53" w:rsidP="0055755B">
            <w:pPr>
              <w:pStyle w:val="1"/>
              <w:numPr>
                <w:ilvl w:val="0"/>
                <w:numId w:val="0"/>
              </w:numPr>
              <w:jc w:val="left"/>
              <w:outlineLvl w:val="0"/>
              <w:rPr>
                <w:b w:val="0"/>
                <w:sz w:val="28"/>
                <w:szCs w:val="28"/>
              </w:rPr>
            </w:pPr>
          </w:p>
          <w:p w:rsidR="00566E53" w:rsidRPr="00566E53" w:rsidRDefault="00566E53" w:rsidP="0055755B">
            <w:pPr>
              <w:pStyle w:val="1"/>
              <w:numPr>
                <w:ilvl w:val="0"/>
                <w:numId w:val="0"/>
              </w:numPr>
              <w:outlineLvl w:val="0"/>
              <w:rPr>
                <w:b w:val="0"/>
                <w:sz w:val="28"/>
                <w:szCs w:val="28"/>
              </w:rPr>
            </w:pPr>
            <w:proofErr w:type="spellStart"/>
            <w:r w:rsidRPr="00566E53">
              <w:rPr>
                <w:b w:val="0"/>
                <w:sz w:val="28"/>
                <w:szCs w:val="28"/>
              </w:rPr>
              <w:t>Євгеній</w:t>
            </w:r>
            <w:proofErr w:type="spellEnd"/>
            <w:r w:rsidRPr="00566E53">
              <w:rPr>
                <w:b w:val="0"/>
                <w:sz w:val="28"/>
                <w:szCs w:val="28"/>
              </w:rPr>
              <w:t xml:space="preserve"> ГРИЦЬКОВ</w:t>
            </w:r>
          </w:p>
          <w:p w:rsidR="00566E53" w:rsidRPr="00566E53" w:rsidRDefault="00566E53" w:rsidP="0055755B">
            <w:pPr>
              <w:rPr>
                <w:sz w:val="28"/>
                <w:lang w:val="uk-UA"/>
              </w:rPr>
            </w:pPr>
            <w:r w:rsidRPr="00566E53">
              <w:rPr>
                <w:sz w:val="28"/>
                <w:lang w:val="uk-UA"/>
              </w:rPr>
              <w:t xml:space="preserve">           </w:t>
            </w:r>
          </w:p>
          <w:p w:rsidR="00566E53" w:rsidRPr="00B925C6" w:rsidRDefault="00566E53" w:rsidP="0055755B">
            <w:pPr>
              <w:jc w:val="both"/>
              <w:rPr>
                <w:sz w:val="28"/>
                <w:lang w:val="uk-UA"/>
              </w:rPr>
            </w:pPr>
            <w:r w:rsidRPr="00566E53">
              <w:rPr>
                <w:sz w:val="28"/>
                <w:lang w:val="uk-UA"/>
              </w:rPr>
              <w:t xml:space="preserve"> «____»  </w:t>
            </w:r>
            <w:r w:rsidRPr="00566E53">
              <w:rPr>
                <w:sz w:val="28"/>
                <w:u w:val="single"/>
                <w:lang w:val="uk-UA"/>
              </w:rPr>
              <w:t xml:space="preserve">                            </w:t>
            </w:r>
            <w:r w:rsidRPr="00566E53">
              <w:rPr>
                <w:sz w:val="28"/>
                <w:lang w:val="uk-UA"/>
              </w:rPr>
              <w:t xml:space="preserve">   2020 року</w:t>
            </w:r>
          </w:p>
        </w:tc>
      </w:tr>
    </w:tbl>
    <w:p w:rsidR="00566E53" w:rsidRPr="00B925C6" w:rsidRDefault="00566E53" w:rsidP="00566E53">
      <w:pPr>
        <w:jc w:val="both"/>
        <w:rPr>
          <w:sz w:val="22"/>
          <w:szCs w:val="22"/>
        </w:rPr>
      </w:pPr>
    </w:p>
    <w:p w:rsidR="00566E53" w:rsidRPr="00B925C6" w:rsidRDefault="00566E53" w:rsidP="00566E53">
      <w:pPr>
        <w:jc w:val="both"/>
        <w:rPr>
          <w:b/>
          <w:sz w:val="24"/>
          <w:szCs w:val="24"/>
        </w:rPr>
      </w:pPr>
      <w:r w:rsidRPr="00B925C6">
        <w:rPr>
          <w:b/>
          <w:sz w:val="24"/>
          <w:szCs w:val="24"/>
        </w:rPr>
        <w:t>Про виконання сектором у справах</w:t>
      </w:r>
    </w:p>
    <w:p w:rsidR="00566E53" w:rsidRPr="00B925C6" w:rsidRDefault="00566E53" w:rsidP="00566E53">
      <w:pPr>
        <w:jc w:val="both"/>
        <w:rPr>
          <w:b/>
          <w:sz w:val="24"/>
          <w:szCs w:val="24"/>
        </w:rPr>
      </w:pPr>
      <w:r w:rsidRPr="00B925C6">
        <w:rPr>
          <w:b/>
          <w:sz w:val="24"/>
          <w:szCs w:val="24"/>
        </w:rPr>
        <w:t xml:space="preserve">релігій плану роботи обласної </w:t>
      </w:r>
    </w:p>
    <w:p w:rsidR="00566E53" w:rsidRPr="00B925C6" w:rsidRDefault="00566E53" w:rsidP="00566E53">
      <w:pPr>
        <w:jc w:val="both"/>
        <w:rPr>
          <w:b/>
          <w:sz w:val="24"/>
          <w:szCs w:val="24"/>
        </w:rPr>
      </w:pPr>
      <w:r w:rsidRPr="00B925C6">
        <w:rPr>
          <w:b/>
          <w:sz w:val="24"/>
          <w:szCs w:val="24"/>
        </w:rPr>
        <w:t xml:space="preserve">державної адміністрації </w:t>
      </w:r>
    </w:p>
    <w:p w:rsidR="00566E53" w:rsidRPr="00B925C6" w:rsidRDefault="00566E53" w:rsidP="00566E53">
      <w:pPr>
        <w:jc w:val="both"/>
        <w:rPr>
          <w:b/>
          <w:sz w:val="24"/>
          <w:szCs w:val="24"/>
        </w:rPr>
      </w:pPr>
      <w:r w:rsidRPr="00B925C6">
        <w:rPr>
          <w:b/>
          <w:sz w:val="24"/>
          <w:szCs w:val="24"/>
        </w:rPr>
        <w:t xml:space="preserve">на </w:t>
      </w:r>
      <w:r>
        <w:rPr>
          <w:b/>
          <w:sz w:val="24"/>
          <w:szCs w:val="24"/>
        </w:rPr>
        <w:t>І</w:t>
      </w:r>
      <w:r w:rsidRPr="00B925C6">
        <w:rPr>
          <w:b/>
          <w:sz w:val="24"/>
          <w:szCs w:val="24"/>
        </w:rPr>
        <w:t xml:space="preserve">І квартал 2020 року </w:t>
      </w:r>
    </w:p>
    <w:p w:rsidR="00566E53" w:rsidRPr="00B925C6" w:rsidRDefault="00566E53" w:rsidP="00566E53">
      <w:pPr>
        <w:ind w:firstLine="763"/>
        <w:jc w:val="both"/>
        <w:rPr>
          <w:sz w:val="22"/>
          <w:szCs w:val="22"/>
        </w:rPr>
      </w:pPr>
    </w:p>
    <w:p w:rsidR="00566E53" w:rsidRPr="00B925C6" w:rsidRDefault="00566E53" w:rsidP="00566E53">
      <w:pPr>
        <w:ind w:firstLine="700"/>
        <w:jc w:val="both"/>
      </w:pPr>
    </w:p>
    <w:p w:rsidR="00566E53" w:rsidRPr="00E654D6" w:rsidRDefault="00566E53" w:rsidP="00566E53">
      <w:pPr>
        <w:ind w:firstLine="567"/>
        <w:jc w:val="both"/>
      </w:pPr>
      <w:r w:rsidRPr="00E654D6">
        <w:t xml:space="preserve">У відповідності до Регламенту обласної державної адміністрації сектор у справах релігій обласної державної адміністрації надає інформацію про виконання плану роботи обласної державної адміністрації на </w:t>
      </w:r>
      <w:r w:rsidR="004A4770">
        <w:t>І</w:t>
      </w:r>
      <w:bookmarkStart w:id="0" w:name="_GoBack"/>
      <w:bookmarkEnd w:id="0"/>
      <w:r w:rsidRPr="00E654D6">
        <w:t xml:space="preserve">І квартал </w:t>
      </w:r>
      <w:r w:rsidRPr="00E654D6">
        <w:br/>
        <w:t>2020 року.</w:t>
      </w:r>
    </w:p>
    <w:p w:rsidR="00566E53" w:rsidRPr="00E654D6" w:rsidRDefault="00566E53" w:rsidP="00566E53">
      <w:pPr>
        <w:pStyle w:val="21"/>
        <w:spacing w:after="0" w:line="240" w:lineRule="auto"/>
        <w:ind w:left="0" w:firstLine="567"/>
        <w:jc w:val="both"/>
      </w:pPr>
      <w:r w:rsidRPr="00E654D6">
        <w:t xml:space="preserve">Протягом </w:t>
      </w:r>
      <w:r>
        <w:t>ІІ</w:t>
      </w:r>
      <w:r w:rsidRPr="00E654D6">
        <w:t xml:space="preserve"> кварталу 2020 року сектор відповідно до Закону України «Про свободу совісті та релігійні організації» забезпечував реалізацію державної політики щодо релігії та церкви, сприяв реєстрації статутів релігійних громад, нових редакцій статутів релігійних громад. Станом на 01.0</w:t>
      </w:r>
      <w:r>
        <w:rPr>
          <w:lang w:val="ru-RU"/>
        </w:rPr>
        <w:t>7</w:t>
      </w:r>
      <w:r w:rsidRPr="00E654D6">
        <w:t xml:space="preserve">.2020 у Харківській області діє </w:t>
      </w:r>
      <w:r>
        <w:rPr>
          <w:lang w:val="ru-RU"/>
        </w:rPr>
        <w:t>799</w:t>
      </w:r>
      <w:r w:rsidRPr="00E654D6">
        <w:t xml:space="preserve"> релігійних громад, що зареєстрували статути в обласній державній адміністрації.</w:t>
      </w:r>
    </w:p>
    <w:p w:rsidR="00566E53" w:rsidRPr="00E654D6" w:rsidRDefault="00566E53" w:rsidP="00566E53">
      <w:pPr>
        <w:pStyle w:val="21"/>
        <w:spacing w:after="0" w:line="240" w:lineRule="auto"/>
        <w:ind w:left="0" w:firstLine="567"/>
        <w:jc w:val="both"/>
      </w:pPr>
      <w:r w:rsidRPr="00E654D6">
        <w:t xml:space="preserve">Протягом </w:t>
      </w:r>
      <w:r>
        <w:t>І</w:t>
      </w:r>
      <w:r w:rsidRPr="00E654D6">
        <w:t xml:space="preserve">І кварталу 2020 року в обласній державній адміністрації зареєстровано статут </w:t>
      </w:r>
      <w:r>
        <w:t>двох</w:t>
      </w:r>
      <w:r w:rsidRPr="00E654D6">
        <w:t xml:space="preserve"> релігійної громади.</w:t>
      </w:r>
    </w:p>
    <w:p w:rsidR="00566E53" w:rsidRPr="00E654D6" w:rsidRDefault="00566E53" w:rsidP="00566E53">
      <w:pPr>
        <w:ind w:firstLine="567"/>
        <w:jc w:val="both"/>
      </w:pPr>
      <w:r w:rsidRPr="00E654D6">
        <w:t xml:space="preserve">Протягом </w:t>
      </w:r>
      <w:r>
        <w:t>І</w:t>
      </w:r>
      <w:r w:rsidRPr="00E654D6">
        <w:t xml:space="preserve">І кварталу 2020 року керівництво сектору надавало консультації та методичну допомогу з питань реєстрації статутів релігійних громад, реєстрації нових редакцій статутів релігійних громад, з питань оформлення згідно з чинним законодавством перебування в Україні іноземних місіонерів та їх діяльності у релігійних громадах тощо. У </w:t>
      </w:r>
      <w:r>
        <w:t>І</w:t>
      </w:r>
      <w:r w:rsidRPr="00E654D6">
        <w:t>І кварталі 2020 року консультації отримали представники релігійних громад Харківської та Ізюмської єпархій Української Православної Церкви, Харківської єпархії Української Православної Церкви (Православної Церкви України), Української Греко-Католицької Церкви, Римсько-Католицької Церкви, Української Автокефальної Православної Церкви, ортодоксального іудаїзму, євангельських християн-баптистів, християн віри євангельської, мусульман, Церкви Ісуса Христа Святих Останніх Днів (мормонів) тощо.</w:t>
      </w:r>
      <w:r>
        <w:t xml:space="preserve"> Переважна більшість консультацій надавалася в онлайн-режимі у зв’язку з карантином.</w:t>
      </w:r>
    </w:p>
    <w:p w:rsidR="00566E53" w:rsidRDefault="00566E53" w:rsidP="00566E53">
      <w:pPr>
        <w:ind w:firstLine="567"/>
        <w:jc w:val="both"/>
      </w:pPr>
      <w:r>
        <w:t>Протягом ІІ кварталу п</w:t>
      </w:r>
      <w:r w:rsidRPr="00E654D6">
        <w:t xml:space="preserve">редставники релігійних організацій різних конфесій </w:t>
      </w:r>
      <w:r>
        <w:t xml:space="preserve">не брали </w:t>
      </w:r>
      <w:r w:rsidRPr="00E654D6">
        <w:t>участ</w:t>
      </w:r>
      <w:r>
        <w:t>і</w:t>
      </w:r>
      <w:r w:rsidRPr="00E654D6">
        <w:t xml:space="preserve"> у заходах обласної державної адміністрації, присвячених відзначенню державних свят, урочистих подій</w:t>
      </w:r>
      <w:r>
        <w:t xml:space="preserve"> у зв’язку з карантином та встановленими у зв’язку з цим обмеженнями</w:t>
      </w:r>
      <w:r w:rsidRPr="00E654D6">
        <w:t xml:space="preserve">. </w:t>
      </w:r>
    </w:p>
    <w:p w:rsidR="004A4770" w:rsidRPr="00E654D6" w:rsidRDefault="004A4770" w:rsidP="00566E53">
      <w:pPr>
        <w:ind w:firstLine="567"/>
        <w:jc w:val="both"/>
      </w:pPr>
      <w:r>
        <w:t>Релігійні організації регіону здійснювали свою діяльність із дотримання вимог карантину. Більшість релігійних організацій здійснювали свою діяльність в онлайн режимі.</w:t>
      </w:r>
    </w:p>
    <w:p w:rsidR="00566E53" w:rsidRPr="00E654D6" w:rsidRDefault="00566E53" w:rsidP="00566E53">
      <w:pPr>
        <w:ind w:firstLine="567"/>
        <w:jc w:val="both"/>
      </w:pPr>
      <w:r w:rsidRPr="00E654D6">
        <w:lastRenderedPageBreak/>
        <w:t>Протягом І</w:t>
      </w:r>
      <w:r>
        <w:t>І</w:t>
      </w:r>
      <w:r w:rsidRPr="00E654D6">
        <w:t xml:space="preserve"> кварталу 2020 року сектор у межах своїх повноважень надавав погодження на перебування та діяльність у релігійних громадах області іноземних місіонерів, погодження на видачу посвідок на тимчасове проживання іноземців в Україні.</w:t>
      </w:r>
    </w:p>
    <w:p w:rsidR="00566E53" w:rsidRPr="00142873" w:rsidRDefault="00566E53" w:rsidP="00566E53">
      <w:pPr>
        <w:ind w:firstLine="560"/>
        <w:jc w:val="both"/>
      </w:pPr>
      <w:r w:rsidRPr="00142873">
        <w:t>10 червня 2020 року відбулася зустріч заступника голови обласної державної адміністрації Євгенія ГРИЦЬКОВА з керівниками релігійних організацій Харківської області, за участі заступника начальника Головного управління Національної поліції України у Харківській області Сергія БІРБАСОВА. У ході зустрічі обговорювалися питання діяльності релігійних організацій області під час карантину та під час адаптивного карантину. У вступному слові Євгеній ГРИЦЬКОВ,</w:t>
      </w:r>
      <w:r w:rsidRPr="00142873">
        <w:rPr>
          <w:b/>
        </w:rPr>
        <w:t xml:space="preserve"> </w:t>
      </w:r>
      <w:r w:rsidRPr="00142873">
        <w:t>заступник голови Харківської обласної державної адміністрації, подякував духовенству за всі кроки, які були зроблені задля того, щоб убезпечити віруючих, щоб перебування людей у культових спорудах було якомога безпечним, щоб мінімізувати контакти віруючих, запровадити онлайн служіння, які принесли свої позитивні результати.</w:t>
      </w:r>
    </w:p>
    <w:p w:rsidR="00566E53" w:rsidRPr="00811214" w:rsidRDefault="00C57F65" w:rsidP="00566E53">
      <w:pPr>
        <w:ind w:firstLine="567"/>
        <w:jc w:val="both"/>
        <w:rPr>
          <w:bCs w:val="0"/>
        </w:rPr>
      </w:pPr>
      <w:r>
        <w:rPr>
          <w:bCs w:val="0"/>
        </w:rPr>
        <w:t xml:space="preserve">На виконання розпорядження голови обласної державної адміністрації від 17 червня 2020 № 349 «Про внесення змін до структури Харківської обласної державної адміністрації» 30 червня 2020 року завідувачем сектору, головою комісії з припинення </w:t>
      </w:r>
      <w:r w:rsidR="00811214" w:rsidRPr="00811214">
        <w:rPr>
          <w:bCs w:val="0"/>
        </w:rPr>
        <w:t xml:space="preserve">сектору у справах </w:t>
      </w:r>
      <w:r w:rsidR="00811214">
        <w:rPr>
          <w:bCs w:val="0"/>
        </w:rPr>
        <w:t>релігій Харківської обласної державної адміністрації Ольгою ЧЕРНЯВСЬКОЮ подано до органу, що здійснює державну реєстрацію юридичних осіб та фізичних осіб-підприємців, документи для внесення до Єдиного державного реєстру юридичних осіб, фізичних осіб-підприємців та громадських формувань, запису про прийняття рішення щодо припинення сектору шляхом його реорганізації.</w:t>
      </w:r>
    </w:p>
    <w:p w:rsidR="00566E53" w:rsidRPr="00E654D6" w:rsidRDefault="00566E53" w:rsidP="00566E53">
      <w:pPr>
        <w:ind w:firstLine="567"/>
        <w:jc w:val="both"/>
        <w:rPr>
          <w:color w:val="1D1D1B"/>
          <w:shd w:val="clear" w:color="auto" w:fill="FFFFFF"/>
        </w:rPr>
      </w:pPr>
    </w:p>
    <w:p w:rsidR="00566E53" w:rsidRPr="00E654D6" w:rsidRDefault="00566E53" w:rsidP="00566E53">
      <w:pPr>
        <w:tabs>
          <w:tab w:val="left" w:pos="2300"/>
        </w:tabs>
        <w:ind w:firstLine="700"/>
        <w:jc w:val="both"/>
        <w:rPr>
          <w:bCs w:val="0"/>
        </w:rPr>
      </w:pPr>
    </w:p>
    <w:p w:rsidR="00566E53" w:rsidRPr="00E654D6" w:rsidRDefault="00566E53" w:rsidP="00566E53">
      <w:pPr>
        <w:tabs>
          <w:tab w:val="left" w:pos="2300"/>
        </w:tabs>
        <w:ind w:firstLine="700"/>
        <w:jc w:val="both"/>
        <w:rPr>
          <w:bCs w:val="0"/>
        </w:rPr>
      </w:pPr>
    </w:p>
    <w:p w:rsidR="004A4770" w:rsidRDefault="004A4770" w:rsidP="00566E53">
      <w:pPr>
        <w:jc w:val="both"/>
      </w:pPr>
      <w:r>
        <w:t>Головний спеціаліст сектору,</w:t>
      </w:r>
    </w:p>
    <w:p w:rsidR="00566E53" w:rsidRPr="00E654D6" w:rsidRDefault="004A4770" w:rsidP="00566E53">
      <w:pPr>
        <w:jc w:val="both"/>
        <w:rPr>
          <w:bCs w:val="0"/>
        </w:rPr>
      </w:pPr>
      <w:r>
        <w:t>член комісії з припинення</w:t>
      </w:r>
      <w:r w:rsidR="00566E53" w:rsidRPr="00E654D6">
        <w:tab/>
      </w:r>
      <w:r w:rsidR="00566E53" w:rsidRPr="00E654D6">
        <w:tab/>
      </w:r>
      <w:r w:rsidR="00566E53" w:rsidRPr="00E654D6">
        <w:tab/>
      </w:r>
      <w:r>
        <w:tab/>
      </w:r>
      <w:r>
        <w:tab/>
      </w:r>
      <w:r>
        <w:tab/>
      </w:r>
      <w:r w:rsidR="00566E53" w:rsidRPr="00E654D6">
        <w:t xml:space="preserve">Ольга </w:t>
      </w:r>
      <w:r>
        <w:t>ЛІМОНОВА</w:t>
      </w:r>
    </w:p>
    <w:p w:rsidR="00566E53" w:rsidRPr="00B925C6" w:rsidRDefault="00566E53" w:rsidP="00566E53"/>
    <w:p w:rsidR="00566E53" w:rsidRPr="00B925C6" w:rsidRDefault="00566E53" w:rsidP="00566E53"/>
    <w:p w:rsidR="00566E53" w:rsidRPr="00B925C6" w:rsidRDefault="00566E53" w:rsidP="00566E53"/>
    <w:p w:rsidR="00566E53" w:rsidRPr="00B925C6" w:rsidRDefault="00566E53" w:rsidP="00566E53"/>
    <w:p w:rsidR="00566E53" w:rsidRPr="00B925C6" w:rsidRDefault="00566E53" w:rsidP="00566E53">
      <w:r w:rsidRPr="00B925C6">
        <w:rPr>
          <w:sz w:val="22"/>
          <w:szCs w:val="22"/>
        </w:rPr>
        <w:t xml:space="preserve">Ольга Лімонова </w:t>
      </w:r>
      <w:r w:rsidR="004A4770">
        <w:rPr>
          <w:sz w:val="22"/>
          <w:szCs w:val="22"/>
        </w:rPr>
        <w:t>757 46 90</w:t>
      </w:r>
    </w:p>
    <w:p w:rsidR="000222B3" w:rsidRDefault="004A4770"/>
    <w:sectPr w:rsidR="000222B3" w:rsidSect="000B26F3">
      <w:headerReference w:type="even" r:id="rId5"/>
      <w:headerReference w:type="default" r:id="rId6"/>
      <w:pgSz w:w="11906" w:h="16838"/>
      <w:pgMar w:top="899" w:right="567" w:bottom="719"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4A4770"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6F3" w:rsidRDefault="004A47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4A4770"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B26F3" w:rsidRDefault="004A4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439"/>
    <w:multiLevelType w:val="multilevel"/>
    <w:tmpl w:val="BBD09E5E"/>
    <w:lvl w:ilvl="0">
      <w:start w:val="8"/>
      <w:numFmt w:val="decimal"/>
      <w:pStyle w:val="1"/>
      <w:lvlText w:val="%1.1."/>
      <w:lvlJc w:val="left"/>
      <w:pPr>
        <w:tabs>
          <w:tab w:val="num" w:pos="72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16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3"/>
    <w:rsid w:val="003E1132"/>
    <w:rsid w:val="003E755D"/>
    <w:rsid w:val="004A4770"/>
    <w:rsid w:val="00566E53"/>
    <w:rsid w:val="005B7F60"/>
    <w:rsid w:val="005D674A"/>
    <w:rsid w:val="00800B85"/>
    <w:rsid w:val="00811214"/>
    <w:rsid w:val="0093590D"/>
    <w:rsid w:val="00B72C85"/>
    <w:rsid w:val="00C24376"/>
    <w:rsid w:val="00C57F65"/>
    <w:rsid w:val="00CB4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793E-F5A6-4950-BBC1-2D48253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53"/>
    <w:pPr>
      <w:spacing w:after="0" w:line="240" w:lineRule="auto"/>
    </w:pPr>
    <w:rPr>
      <w:rFonts w:cs="Times New Roman"/>
      <w:bCs/>
      <w:szCs w:val="28"/>
    </w:rPr>
  </w:style>
  <w:style w:type="paragraph" w:styleId="1">
    <w:name w:val="heading 1"/>
    <w:basedOn w:val="a"/>
    <w:next w:val="a"/>
    <w:link w:val="10"/>
    <w:qFormat/>
    <w:rsid w:val="00566E53"/>
    <w:pPr>
      <w:keepNext/>
      <w:numPr>
        <w:numId w:val="1"/>
      </w:numPr>
      <w:jc w:val="right"/>
      <w:outlineLvl w:val="0"/>
    </w:pPr>
    <w:rPr>
      <w:b/>
      <w:bCs w:val="0"/>
      <w:szCs w:val="24"/>
    </w:rPr>
  </w:style>
  <w:style w:type="paragraph" w:styleId="2">
    <w:name w:val="heading 2"/>
    <w:basedOn w:val="a"/>
    <w:next w:val="a"/>
    <w:link w:val="20"/>
    <w:qFormat/>
    <w:rsid w:val="00566E53"/>
    <w:pPr>
      <w:keepNext/>
      <w:numPr>
        <w:ilvl w:val="1"/>
        <w:numId w:val="1"/>
      </w:numPr>
      <w:spacing w:before="240" w:after="60"/>
      <w:outlineLvl w:val="1"/>
    </w:pPr>
    <w:rPr>
      <w:rFonts w:ascii="Arial" w:hAnsi="Arial" w:cs="Arial"/>
      <w:b/>
      <w:bCs w:val="0"/>
      <w:i/>
      <w:iCs/>
    </w:rPr>
  </w:style>
  <w:style w:type="paragraph" w:styleId="3">
    <w:name w:val="heading 3"/>
    <w:basedOn w:val="a"/>
    <w:next w:val="a"/>
    <w:link w:val="30"/>
    <w:qFormat/>
    <w:rsid w:val="00566E53"/>
    <w:pPr>
      <w:keepNext/>
      <w:numPr>
        <w:ilvl w:val="2"/>
        <w:numId w:val="1"/>
      </w:numPr>
      <w:spacing w:before="240" w:after="60"/>
      <w:outlineLvl w:val="2"/>
    </w:pPr>
    <w:rPr>
      <w:rFonts w:ascii="Arial" w:hAnsi="Arial" w:cs="Arial"/>
      <w:b/>
      <w:bCs w:val="0"/>
      <w:sz w:val="26"/>
      <w:szCs w:val="26"/>
    </w:rPr>
  </w:style>
  <w:style w:type="paragraph" w:styleId="4">
    <w:name w:val="heading 4"/>
    <w:basedOn w:val="a"/>
    <w:next w:val="a"/>
    <w:link w:val="40"/>
    <w:qFormat/>
    <w:rsid w:val="00566E53"/>
    <w:pPr>
      <w:keepNext/>
      <w:numPr>
        <w:ilvl w:val="3"/>
        <w:numId w:val="1"/>
      </w:numPr>
      <w:spacing w:before="240" w:after="60"/>
      <w:outlineLvl w:val="3"/>
    </w:pPr>
    <w:rPr>
      <w:b/>
      <w:bCs w:val="0"/>
    </w:rPr>
  </w:style>
  <w:style w:type="paragraph" w:styleId="5">
    <w:name w:val="heading 5"/>
    <w:basedOn w:val="a"/>
    <w:next w:val="a"/>
    <w:link w:val="50"/>
    <w:qFormat/>
    <w:rsid w:val="00566E53"/>
    <w:pPr>
      <w:numPr>
        <w:ilvl w:val="4"/>
        <w:numId w:val="1"/>
      </w:numPr>
      <w:spacing w:before="240" w:after="60"/>
      <w:outlineLvl w:val="4"/>
    </w:pPr>
    <w:rPr>
      <w:b/>
      <w:bCs w:val="0"/>
      <w:i/>
      <w:iCs/>
      <w:sz w:val="26"/>
      <w:szCs w:val="26"/>
    </w:rPr>
  </w:style>
  <w:style w:type="paragraph" w:styleId="6">
    <w:name w:val="heading 6"/>
    <w:basedOn w:val="a"/>
    <w:next w:val="a"/>
    <w:link w:val="60"/>
    <w:qFormat/>
    <w:rsid w:val="00566E53"/>
    <w:pPr>
      <w:numPr>
        <w:ilvl w:val="5"/>
        <w:numId w:val="1"/>
      </w:numPr>
      <w:spacing w:before="240" w:after="60"/>
      <w:outlineLvl w:val="5"/>
    </w:pPr>
    <w:rPr>
      <w:b/>
      <w:sz w:val="22"/>
      <w:szCs w:val="22"/>
    </w:rPr>
  </w:style>
  <w:style w:type="paragraph" w:styleId="7">
    <w:name w:val="heading 7"/>
    <w:basedOn w:val="a"/>
    <w:next w:val="a"/>
    <w:link w:val="70"/>
    <w:qFormat/>
    <w:rsid w:val="00566E53"/>
    <w:pPr>
      <w:numPr>
        <w:ilvl w:val="6"/>
        <w:numId w:val="1"/>
      </w:numPr>
      <w:spacing w:before="240" w:after="60"/>
      <w:outlineLvl w:val="6"/>
    </w:pPr>
    <w:rPr>
      <w:bCs w:val="0"/>
      <w:sz w:val="24"/>
      <w:szCs w:val="24"/>
    </w:rPr>
  </w:style>
  <w:style w:type="paragraph" w:styleId="8">
    <w:name w:val="heading 8"/>
    <w:basedOn w:val="a"/>
    <w:next w:val="a"/>
    <w:link w:val="80"/>
    <w:qFormat/>
    <w:rsid w:val="00566E53"/>
    <w:pPr>
      <w:numPr>
        <w:ilvl w:val="7"/>
        <w:numId w:val="1"/>
      </w:numPr>
      <w:spacing w:before="240" w:after="60"/>
      <w:outlineLvl w:val="7"/>
    </w:pPr>
    <w:rPr>
      <w:bCs w:val="0"/>
      <w:i/>
      <w:iCs/>
      <w:sz w:val="24"/>
      <w:szCs w:val="24"/>
    </w:rPr>
  </w:style>
  <w:style w:type="paragraph" w:styleId="9">
    <w:name w:val="heading 9"/>
    <w:basedOn w:val="a"/>
    <w:next w:val="a"/>
    <w:link w:val="90"/>
    <w:qFormat/>
    <w:rsid w:val="00566E53"/>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E53"/>
    <w:rPr>
      <w:rFonts w:cs="Times New Roman"/>
      <w:b/>
      <w:szCs w:val="24"/>
    </w:rPr>
  </w:style>
  <w:style w:type="character" w:customStyle="1" w:styleId="20">
    <w:name w:val="Заголовок 2 Знак"/>
    <w:basedOn w:val="a0"/>
    <w:link w:val="2"/>
    <w:rsid w:val="00566E53"/>
    <w:rPr>
      <w:rFonts w:ascii="Arial" w:hAnsi="Arial" w:cs="Arial"/>
      <w:b/>
      <w:i/>
      <w:iCs/>
      <w:szCs w:val="28"/>
    </w:rPr>
  </w:style>
  <w:style w:type="character" w:customStyle="1" w:styleId="30">
    <w:name w:val="Заголовок 3 Знак"/>
    <w:basedOn w:val="a0"/>
    <w:link w:val="3"/>
    <w:rsid w:val="00566E53"/>
    <w:rPr>
      <w:rFonts w:ascii="Arial" w:hAnsi="Arial" w:cs="Arial"/>
      <w:b/>
      <w:sz w:val="26"/>
      <w:szCs w:val="26"/>
    </w:rPr>
  </w:style>
  <w:style w:type="character" w:customStyle="1" w:styleId="40">
    <w:name w:val="Заголовок 4 Знак"/>
    <w:basedOn w:val="a0"/>
    <w:link w:val="4"/>
    <w:rsid w:val="00566E53"/>
    <w:rPr>
      <w:rFonts w:cs="Times New Roman"/>
      <w:b/>
      <w:szCs w:val="28"/>
    </w:rPr>
  </w:style>
  <w:style w:type="character" w:customStyle="1" w:styleId="50">
    <w:name w:val="Заголовок 5 Знак"/>
    <w:basedOn w:val="a0"/>
    <w:link w:val="5"/>
    <w:rsid w:val="00566E53"/>
    <w:rPr>
      <w:rFonts w:cs="Times New Roman"/>
      <w:b/>
      <w:i/>
      <w:iCs/>
      <w:sz w:val="26"/>
      <w:szCs w:val="26"/>
    </w:rPr>
  </w:style>
  <w:style w:type="character" w:customStyle="1" w:styleId="60">
    <w:name w:val="Заголовок 6 Знак"/>
    <w:basedOn w:val="a0"/>
    <w:link w:val="6"/>
    <w:rsid w:val="00566E53"/>
    <w:rPr>
      <w:rFonts w:cs="Times New Roman"/>
      <w:b/>
      <w:bCs/>
      <w:sz w:val="22"/>
    </w:rPr>
  </w:style>
  <w:style w:type="character" w:customStyle="1" w:styleId="70">
    <w:name w:val="Заголовок 7 Знак"/>
    <w:basedOn w:val="a0"/>
    <w:link w:val="7"/>
    <w:rsid w:val="00566E53"/>
    <w:rPr>
      <w:rFonts w:cs="Times New Roman"/>
      <w:sz w:val="24"/>
      <w:szCs w:val="24"/>
    </w:rPr>
  </w:style>
  <w:style w:type="character" w:customStyle="1" w:styleId="80">
    <w:name w:val="Заголовок 8 Знак"/>
    <w:basedOn w:val="a0"/>
    <w:link w:val="8"/>
    <w:rsid w:val="00566E53"/>
    <w:rPr>
      <w:rFonts w:cs="Times New Roman"/>
      <w:i/>
      <w:iCs/>
      <w:sz w:val="24"/>
      <w:szCs w:val="24"/>
    </w:rPr>
  </w:style>
  <w:style w:type="character" w:customStyle="1" w:styleId="90">
    <w:name w:val="Заголовок 9 Знак"/>
    <w:basedOn w:val="a0"/>
    <w:link w:val="9"/>
    <w:rsid w:val="00566E53"/>
    <w:rPr>
      <w:rFonts w:ascii="Arial" w:hAnsi="Arial" w:cs="Arial"/>
      <w:sz w:val="22"/>
    </w:rPr>
  </w:style>
  <w:style w:type="paragraph" w:styleId="a3">
    <w:name w:val="header"/>
    <w:basedOn w:val="a"/>
    <w:link w:val="a4"/>
    <w:rsid w:val="00566E53"/>
    <w:pPr>
      <w:tabs>
        <w:tab w:val="center" w:pos="4677"/>
        <w:tab w:val="right" w:pos="9355"/>
      </w:tabs>
    </w:pPr>
    <w:rPr>
      <w:szCs w:val="24"/>
    </w:rPr>
  </w:style>
  <w:style w:type="character" w:customStyle="1" w:styleId="a4">
    <w:name w:val="Верхний колонтитул Знак"/>
    <w:basedOn w:val="a0"/>
    <w:link w:val="a3"/>
    <w:rsid w:val="00566E53"/>
    <w:rPr>
      <w:rFonts w:cs="Times New Roman"/>
      <w:bCs/>
      <w:szCs w:val="24"/>
    </w:rPr>
  </w:style>
  <w:style w:type="character" w:styleId="a5">
    <w:name w:val="page number"/>
    <w:basedOn w:val="a0"/>
    <w:rsid w:val="00566E53"/>
  </w:style>
  <w:style w:type="table" w:styleId="a6">
    <w:name w:val="Table Grid"/>
    <w:basedOn w:val="a1"/>
    <w:rsid w:val="00566E53"/>
    <w:pPr>
      <w:spacing w:after="0" w:line="240" w:lineRule="auto"/>
    </w:pPr>
    <w:rPr>
      <w:rFonts w:eastAsia="Times New Roman" w:cs="Times New Roman"/>
      <w:bCs/>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566E53"/>
    <w:pPr>
      <w:spacing w:after="120" w:line="480" w:lineRule="auto"/>
      <w:ind w:left="283"/>
    </w:pPr>
  </w:style>
  <w:style w:type="character" w:customStyle="1" w:styleId="22">
    <w:name w:val="Основной текст с отступом 2 Знак"/>
    <w:basedOn w:val="a0"/>
    <w:link w:val="21"/>
    <w:rsid w:val="00566E53"/>
    <w:rPr>
      <w:rFonts w:cs="Times New Roman"/>
      <w:bCs/>
      <w:szCs w:val="28"/>
    </w:rPr>
  </w:style>
  <w:style w:type="paragraph" w:styleId="a7">
    <w:name w:val="Body Text"/>
    <w:basedOn w:val="a"/>
    <w:link w:val="a8"/>
    <w:rsid w:val="00566E53"/>
    <w:pPr>
      <w:spacing w:after="120"/>
    </w:pPr>
  </w:style>
  <w:style w:type="character" w:customStyle="1" w:styleId="a8">
    <w:name w:val="Основной текст Знак"/>
    <w:basedOn w:val="a0"/>
    <w:link w:val="a7"/>
    <w:rsid w:val="00566E53"/>
    <w:rPr>
      <w:rFonts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2608</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Limonova</dc:creator>
  <cp:keywords/>
  <dc:description/>
  <cp:lastModifiedBy>Olga Limonova</cp:lastModifiedBy>
  <cp:revision>1</cp:revision>
  <dcterms:created xsi:type="dcterms:W3CDTF">2020-07-07T05:49:00Z</dcterms:created>
  <dcterms:modified xsi:type="dcterms:W3CDTF">2020-07-07T07:38:00Z</dcterms:modified>
</cp:coreProperties>
</file>